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10574"/>
      </w:tblGrid>
      <w:tr w:rsidR="00295F9C" w:rsidRPr="00A0446C" w:rsidTr="00211A69">
        <w:trPr>
          <w:trHeight w:val="1129"/>
        </w:trPr>
        <w:tc>
          <w:tcPr>
            <w:tcW w:w="10574" w:type="dxa"/>
          </w:tcPr>
          <w:p w:rsidR="00295F9C" w:rsidRPr="00295F9C" w:rsidRDefault="00295F9C" w:rsidP="00B110AF">
            <w:pPr>
              <w:spacing w:line="276" w:lineRule="auto"/>
              <w:ind w:left="141" w:hanging="141"/>
              <w:jc w:val="center"/>
              <w:rPr>
                <w:rFonts w:ascii="Times New Roman" w:eastAsia="Calibri" w:hAnsi="Times New Roman" w:cs="Sakkal Majalla"/>
                <w:b/>
                <w:bCs/>
                <w:sz w:val="24"/>
                <w:szCs w:val="36"/>
                <w:rtl/>
                <w:lang w:bidi="ar-DZ"/>
              </w:rPr>
            </w:pPr>
            <w:r w:rsidRPr="00295F9C">
              <w:rPr>
                <w:rFonts w:ascii="Times New Roman" w:eastAsia="Calibri" w:hAnsi="Times New Roman" w:cs="Sakkal Majalla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5706110</wp:posOffset>
                  </wp:positionH>
                  <wp:positionV relativeFrom="paragraph">
                    <wp:posOffset>24130</wp:posOffset>
                  </wp:positionV>
                  <wp:extent cx="876300" cy="6572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95F9C">
              <w:rPr>
                <w:rFonts w:ascii="Times New Roman" w:eastAsia="Calibri" w:hAnsi="Times New Roman" w:cs="Sakkal Majalla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31750</wp:posOffset>
                  </wp:positionV>
                  <wp:extent cx="876300" cy="65722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36"/>
                <w:rtl/>
                <w:lang w:bidi="ar-DZ"/>
              </w:rPr>
              <w:t>جامعة العربي بن مهيدي</w:t>
            </w:r>
            <w:r w:rsidR="00A0446C">
              <w:rPr>
                <w:rFonts w:ascii="Times New Roman" w:eastAsia="Calibri" w:hAnsi="Times New Roman" w:cs="Sakkal Majalla" w:hint="cs"/>
                <w:b/>
                <w:bCs/>
                <w:sz w:val="24"/>
                <w:szCs w:val="36"/>
                <w:rtl/>
                <w:lang w:bidi="ar-DZ"/>
              </w:rPr>
              <w:t xml:space="preserve"> -</w:t>
            </w: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36"/>
                <w:rtl/>
                <w:lang w:bidi="ar-DZ"/>
              </w:rPr>
              <w:t xml:space="preserve"> أم البواقي</w:t>
            </w:r>
          </w:p>
          <w:p w:rsidR="00295F9C" w:rsidRPr="00A0446C" w:rsidRDefault="00A0446C" w:rsidP="00B110AF">
            <w:pPr>
              <w:spacing w:line="276" w:lineRule="auto"/>
              <w:ind w:left="141" w:hanging="141"/>
              <w:jc w:val="center"/>
              <w:rPr>
                <w:rFonts w:ascii="Times New Roman" w:eastAsia="Calibri" w:hAnsi="Times New Roman" w:cs="Sakkal Majalla"/>
                <w:b/>
                <w:bCs/>
                <w:i/>
                <w:iCs/>
                <w:sz w:val="24"/>
                <w:szCs w:val="28"/>
                <w:shd w:val="clear" w:color="auto" w:fill="FFFFFF"/>
                <w:rtl/>
                <w:lang w:val="fr-FR" w:bidi="ar-DZ"/>
              </w:rPr>
            </w:pPr>
            <w:r w:rsidRPr="00A0446C">
              <w:rPr>
                <w:rFonts w:ascii="Times New Roman" w:eastAsia="Calibri" w:hAnsi="Times New Roman" w:cs="Sakkal Majalla"/>
                <w:b/>
                <w:bCs/>
                <w:i/>
                <w:iCs/>
                <w:sz w:val="24"/>
                <w:szCs w:val="28"/>
                <w:shd w:val="clear" w:color="auto" w:fill="FFFFFF"/>
                <w:lang w:val="fr-FR"/>
              </w:rPr>
              <w:t>Larbi Ben M'hidi University - Oum El Bouaghi</w:t>
            </w:r>
          </w:p>
          <w:p w:rsidR="00295F9C" w:rsidRPr="00295F9C" w:rsidRDefault="00295F9C" w:rsidP="00B110AF">
            <w:pPr>
              <w:ind w:left="141" w:hanging="141"/>
              <w:rPr>
                <w:rFonts w:ascii="Times New Roman" w:eastAsia="Calibri" w:hAnsi="Times New Roman" w:cs="Sakkal Majalla"/>
                <w:b/>
                <w:bCs/>
                <w:i/>
                <w:iCs/>
                <w:sz w:val="24"/>
                <w:szCs w:val="27"/>
                <w:shd w:val="clear" w:color="auto" w:fill="FFFFFF"/>
                <w:rtl/>
                <w:lang w:bidi="ar-DZ"/>
              </w:rPr>
            </w:pPr>
          </w:p>
        </w:tc>
      </w:tr>
      <w:tr w:rsidR="00295F9C" w:rsidRPr="00295F9C" w:rsidTr="00B110AF">
        <w:tc>
          <w:tcPr>
            <w:tcW w:w="10574" w:type="dxa"/>
          </w:tcPr>
          <w:p w:rsidR="00295F9C" w:rsidRPr="00295F9C" w:rsidRDefault="00295F9C" w:rsidP="00B110AF">
            <w:pPr>
              <w:tabs>
                <w:tab w:val="left" w:pos="9251"/>
              </w:tabs>
              <w:ind w:left="141" w:hanging="141"/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lang w:val="fr-FR" w:bidi="ar-DZ"/>
              </w:rPr>
            </w:pP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كلية </w:t>
            </w:r>
            <w:r w:rsidR="00A0446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العلوم الاجتماعية </w:t>
            </w:r>
            <w:r w:rsidR="00CA6C79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والإنسانية</w:t>
            </w:r>
            <w:r w:rsidR="00A0446C" w:rsidRPr="00A0446C"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lang w:val="fr-FR" w:bidi="ar-DZ"/>
              </w:rPr>
              <w:t>Faculty of Social and Huma</w:t>
            </w:r>
            <w:r w:rsidR="00CA6C79"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lang w:val="fr-FR" w:bidi="ar-DZ"/>
              </w:rPr>
              <w:t>i</w:t>
            </w:r>
            <w:r w:rsidR="00A0446C" w:rsidRPr="00A0446C"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lang w:val="fr-FR" w:bidi="ar-DZ"/>
              </w:rPr>
              <w:t>n Sciences</w:t>
            </w:r>
          </w:p>
        </w:tc>
      </w:tr>
      <w:tr w:rsidR="00295F9C" w:rsidRPr="00295F9C" w:rsidTr="00B110AF">
        <w:tc>
          <w:tcPr>
            <w:tcW w:w="10574" w:type="dxa"/>
          </w:tcPr>
          <w:p w:rsidR="00295F9C" w:rsidRPr="00295F9C" w:rsidRDefault="00D160BC" w:rsidP="00E109A3">
            <w:pPr>
              <w:tabs>
                <w:tab w:val="left" w:pos="9251"/>
              </w:tabs>
              <w:ind w:left="141" w:hanging="141"/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rtl/>
                <w:lang w:bidi="ar-DZ"/>
              </w:rPr>
            </w:pP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كلية </w:t>
            </w:r>
            <w:r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العلوم الاجتماعية</w:t>
            </w:r>
            <w:r w:rsidR="00A0446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val="fr-FR" w:bidi="ar-DZ"/>
              </w:rPr>
              <w:t xml:space="preserve"> </w:t>
            </w:r>
          </w:p>
        </w:tc>
      </w:tr>
      <w:tr w:rsidR="00295F9C" w:rsidRPr="00295F9C" w:rsidTr="00B110AF">
        <w:tc>
          <w:tcPr>
            <w:tcW w:w="10574" w:type="dxa"/>
          </w:tcPr>
          <w:p w:rsidR="00295F9C" w:rsidRDefault="008B4EE6" w:rsidP="008D4FA6">
            <w:pPr>
              <w:tabs>
                <w:tab w:val="right" w:pos="10240"/>
              </w:tabs>
              <w:ind w:left="141" w:hanging="141"/>
              <w:jc w:val="center"/>
              <w:rPr>
                <w:rFonts w:ascii="Times New Roman" w:eastAsia="Calibri" w:hAnsi="Times New Roman" w:cs="Sakkal Majalla" w:hint="cs"/>
                <w:b/>
                <w:bCs/>
                <w:sz w:val="24"/>
                <w:szCs w:val="44"/>
                <w:rtl/>
                <w:lang w:bidi="ar-DZ"/>
              </w:rPr>
            </w:pPr>
            <w:r>
              <w:rPr>
                <w:rFonts w:ascii="Times New Roman" w:eastAsia="Calibri" w:hAnsi="Times New Roman" w:cs="Sakkal Majalla" w:hint="cs"/>
                <w:b/>
                <w:bCs/>
                <w:sz w:val="24"/>
                <w:szCs w:val="44"/>
                <w:rtl/>
                <w:lang w:bidi="ar-DZ"/>
              </w:rPr>
              <w:t>الاجابة النموذجية</w:t>
            </w:r>
            <w:r w:rsidR="00326F55">
              <w:rPr>
                <w:rFonts w:ascii="Times New Roman" w:eastAsia="Calibri" w:hAnsi="Times New Roman" w:cs="Sakkal Majalla" w:hint="cs"/>
                <w:b/>
                <w:bCs/>
                <w:sz w:val="24"/>
                <w:szCs w:val="4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Sakkal Majalla" w:hint="cs"/>
                <w:b/>
                <w:bCs/>
                <w:sz w:val="24"/>
                <w:szCs w:val="44"/>
                <w:rtl/>
                <w:lang w:bidi="ar-DZ"/>
              </w:rPr>
              <w:t>ل</w:t>
            </w:r>
            <w:r w:rsidR="00826279">
              <w:rPr>
                <w:rFonts w:ascii="Times New Roman" w:eastAsia="Calibri" w:hAnsi="Times New Roman" w:cs="Sakkal Majalla" w:hint="cs"/>
                <w:b/>
                <w:bCs/>
                <w:sz w:val="24"/>
                <w:szCs w:val="44"/>
                <w:rtl/>
                <w:lang w:bidi="ar-DZ"/>
              </w:rPr>
              <w:t>مقياس علم النفس اللغوي الع</w:t>
            </w:r>
            <w:r w:rsidR="00326F55">
              <w:rPr>
                <w:rFonts w:ascii="Times New Roman" w:eastAsia="Calibri" w:hAnsi="Times New Roman" w:cs="Sakkal Majalla" w:hint="cs"/>
                <w:b/>
                <w:bCs/>
                <w:sz w:val="24"/>
                <w:szCs w:val="44"/>
                <w:rtl/>
                <w:lang w:bidi="ar-DZ"/>
              </w:rPr>
              <w:t>يادي</w:t>
            </w:r>
          </w:p>
          <w:p w:rsidR="00826279" w:rsidRPr="00295F9C" w:rsidRDefault="00826279" w:rsidP="008D4FA6">
            <w:pPr>
              <w:tabs>
                <w:tab w:val="right" w:pos="10240"/>
              </w:tabs>
              <w:ind w:left="141" w:hanging="141"/>
              <w:jc w:val="center"/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rtl/>
                <w:lang w:val="fr-FR" w:bidi="ar-DZ"/>
              </w:rPr>
            </w:pPr>
            <w:r w:rsidRPr="006B18A7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المستوى:</w:t>
            </w:r>
            <w:r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 </w:t>
            </w:r>
            <w:r w:rsidRPr="006B18A7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سنة اولى ماستر امراض اللغة و التواصل</w:t>
            </w:r>
          </w:p>
        </w:tc>
      </w:tr>
    </w:tbl>
    <w:p w:rsidR="00D160BC" w:rsidRDefault="00D160BC" w:rsidP="00E237B5">
      <w:pPr>
        <w:pBdr>
          <w:bottom w:val="single" w:sz="4" w:space="1" w:color="auto"/>
        </w:pBdr>
        <w:spacing w:after="0"/>
        <w:rPr>
          <w:rFonts w:ascii="Times New Roman" w:eastAsia="Calibri" w:hAnsi="Times New Roman" w:cs="Sakkal Majalla"/>
          <w:b/>
          <w:bCs/>
          <w:sz w:val="28"/>
          <w:szCs w:val="40"/>
          <w:u w:val="single"/>
          <w:lang w:bidi="ar-DZ"/>
        </w:rPr>
      </w:pPr>
    </w:p>
    <w:p w:rsidR="00295F9C" w:rsidRPr="00E237B5" w:rsidRDefault="008B4EE6" w:rsidP="00E109A3">
      <w:pPr>
        <w:pBdr>
          <w:bottom w:val="single" w:sz="4" w:space="1" w:color="auto"/>
        </w:pBdr>
        <w:spacing w:after="0"/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اجابة </w:t>
      </w:r>
      <w:r w:rsidR="00295F9C"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السؤال الأول:(</w:t>
      </w:r>
      <w:r w:rsidR="00E109A3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10</w:t>
      </w:r>
      <w:r w:rsidR="00295F9C"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نقاط)</w:t>
      </w:r>
    </w:p>
    <w:p w:rsidR="008B4EE6" w:rsidRPr="008B4EE6" w:rsidRDefault="008B4EE6" w:rsidP="008B4EE6">
      <w:pPr>
        <w:spacing w:line="360" w:lineRule="auto"/>
        <w:jc w:val="both"/>
        <w:rPr>
          <w:rFonts w:ascii="Times New Roman" w:eastAsia="Calibri" w:hAnsi="Times New Roman" w:cs="Sakkal Majalla"/>
          <w:sz w:val="32"/>
          <w:szCs w:val="32"/>
          <w:rtl/>
          <w:lang w:val="fr-FR"/>
        </w:rPr>
      </w:pP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يمكننا أولا في المثال السابق تحديد فعلين ("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peux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" و"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passer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") و حولهما يتم تنظيم قضيتان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Propositions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>: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>الأولى تتضمن بالإضافة إلى الفعل فاعلا (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tu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) ومكملا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 xml:space="preserve">complément 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>وهو القضية الثانية. هذا الذي يكون فعله بصيغة المصدر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à l'inﬁnitif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، ليس له فاعل صريح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sujet explicite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 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ولكن يمكننا تعيين "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tu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" كفاعل ضمني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sujet implicite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حيث يتم إرفاق مكملين للفعل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deux compléments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: مكمل مفعول به مباشر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un complément direct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("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sel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") ومكمل غير مباشر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un complément indirect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("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me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"). 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و 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لإكمال التحليل يمكن تقسيم المجموعة الاسمية</w:t>
      </w:r>
      <w:r w:rsidRPr="008B4EE6">
        <w:rPr>
          <w:rFonts w:ascii="Times New Roman" w:eastAsia="Calibri" w:hAnsi="Times New Roman" w:cs="Sakkal Majalla" w:hint="cs"/>
          <w:sz w:val="32"/>
          <w:szCs w:val="32"/>
          <w:lang w:val="fr-FR"/>
        </w:rPr>
        <w:t xml:space="preserve"> 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او التركيب "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le sel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" إلى اسم ("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sel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") 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 xml:space="preserve"> 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و اداة تعريف (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le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). وأخيرًا فإن تنغيم الجملة تميزها بأنها استفهام. كان من الممكن تمييز هذا الطابع بوسائل نحوية (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Peux-tu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. ..?) أو وسائل معجمية (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Est—ce que tu peux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... ?)، وفي هذه الحالة ستكون العلامة التنغيمية زائدة عن الحاجة.</w:t>
      </w:r>
    </w:p>
    <w:p w:rsidR="008B4EE6" w:rsidRPr="008B4EE6" w:rsidRDefault="008B4EE6" w:rsidP="008B4EE6">
      <w:pPr>
        <w:spacing w:line="360" w:lineRule="auto"/>
        <w:jc w:val="both"/>
        <w:rPr>
          <w:rFonts w:ascii="Times New Roman" w:eastAsia="Calibri" w:hAnsi="Times New Roman" w:cs="Sakkal Majalla"/>
          <w:b/>
          <w:bCs/>
          <w:sz w:val="32"/>
          <w:szCs w:val="32"/>
          <w:rtl/>
          <w:lang w:val="fr-FR"/>
        </w:rPr>
      </w:pPr>
      <w:r w:rsidRPr="008B4EE6">
        <w:rPr>
          <w:rFonts w:ascii="Times New Roman" w:eastAsia="Calibri" w:hAnsi="Times New Roman" w:cs="Sakkal Majalla"/>
          <w:b/>
          <w:bCs/>
          <w:sz w:val="32"/>
          <w:szCs w:val="32"/>
          <w:rtl/>
          <w:lang w:val="fr-FR"/>
        </w:rPr>
        <w:t>يقوم المستمع بتنفيذ هذا التحليل النحوي. والقرائن التي يمكن الاعتماد عليها هي على ثلاثة أنواع:</w:t>
      </w:r>
    </w:p>
    <w:p w:rsidR="008B4EE6" w:rsidRPr="008B4EE6" w:rsidRDefault="008B4EE6" w:rsidP="008B4EE6">
      <w:pPr>
        <w:spacing w:line="360" w:lineRule="auto"/>
        <w:jc w:val="both"/>
        <w:rPr>
          <w:rFonts w:ascii="Times New Roman" w:eastAsia="Calibri" w:hAnsi="Times New Roman" w:cs="Sakkal Majalla"/>
          <w:sz w:val="32"/>
          <w:szCs w:val="32"/>
          <w:rtl/>
          <w:lang w:val="fr-FR"/>
        </w:rPr>
      </w:pPr>
      <w:r w:rsidRPr="008B4EE6">
        <w:rPr>
          <w:rFonts w:ascii="Times New Roman" w:eastAsia="Calibri" w:hAnsi="Times New Roman" w:cs="Sakkal Majalla"/>
          <w:b/>
          <w:bCs/>
          <w:sz w:val="32"/>
          <w:szCs w:val="32"/>
          <w:rtl/>
          <w:lang w:val="fr-FR"/>
        </w:rPr>
        <w:t>أ/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الفئات النحوية التي تندرج ضمنها كلمات الجملة(فعل، اسم، ضمير، اداة تعريف...)</w:t>
      </w:r>
    </w:p>
    <w:p w:rsidR="008B4EE6" w:rsidRPr="008B4EE6" w:rsidRDefault="008B4EE6" w:rsidP="008B4EE6">
      <w:pPr>
        <w:spacing w:line="360" w:lineRule="auto"/>
        <w:jc w:val="both"/>
        <w:rPr>
          <w:rFonts w:ascii="Times New Roman" w:eastAsia="Calibri" w:hAnsi="Times New Roman" w:cs="Sakkal Majalla"/>
          <w:sz w:val="32"/>
          <w:szCs w:val="32"/>
          <w:rtl/>
          <w:lang w:val="fr-FR"/>
        </w:rPr>
      </w:pPr>
      <w:r w:rsidRPr="008B4EE6">
        <w:rPr>
          <w:rFonts w:ascii="Times New Roman" w:eastAsia="Calibri" w:hAnsi="Times New Roman" w:cs="Sakkal Majalla"/>
          <w:b/>
          <w:bCs/>
          <w:sz w:val="32"/>
          <w:szCs w:val="32"/>
          <w:rtl/>
          <w:lang w:val="fr-FR"/>
        </w:rPr>
        <w:t>ب/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ترتيب الكلمات (في الفرنسية يسبق المركب الاسمي على العموم الفعل، ويتبعه إذا كان مفعولا به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complément d'objet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، ونحو ذلك).</w:t>
      </w:r>
    </w:p>
    <w:p w:rsidR="008B4EE6" w:rsidRPr="008B4EE6" w:rsidRDefault="008B4EE6" w:rsidP="008B4EE6">
      <w:pPr>
        <w:spacing w:line="360" w:lineRule="auto"/>
        <w:jc w:val="both"/>
        <w:rPr>
          <w:rFonts w:ascii="Times New Roman" w:eastAsia="Calibri" w:hAnsi="Times New Roman" w:cs="Sakkal Majalla"/>
          <w:sz w:val="32"/>
          <w:szCs w:val="32"/>
          <w:rtl/>
          <w:lang w:val="fr-FR"/>
        </w:rPr>
      </w:pP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من الواضح أننا يجب أن نضيف أدلة دلالية وظرفية، والتي يمكن أن توجه التحليل النحوي، أو حتى تحل محله. ويبقى أن نوضح كيف يتم تنفيذ هذا التحليل فعليًا: الإجراءات التلقائية (واللاواعية) التي يتم تفعيلها عند المستمع ليس بالضرورة مطابقًا للتحليل المنطقي اللغوي كما وصفناه للتو</w:t>
      </w:r>
    </w:p>
    <w:p w:rsidR="008B4EE6" w:rsidRDefault="008B4EE6" w:rsidP="00E109A3">
      <w:pPr>
        <w:pBdr>
          <w:bottom w:val="single" w:sz="4" w:space="1" w:color="auto"/>
        </w:pBdr>
        <w:spacing w:before="240" w:after="0"/>
        <w:rPr>
          <w:rFonts w:ascii="Times New Roman" w:eastAsia="Calibri" w:hAnsi="Times New Roman" w:cs="Sakkal Majalla"/>
          <w:sz w:val="32"/>
          <w:szCs w:val="32"/>
          <w:rtl/>
          <w:lang w:val="fr-FR"/>
        </w:rPr>
      </w:pPr>
    </w:p>
    <w:p w:rsidR="00295F9C" w:rsidRDefault="008B4EE6" w:rsidP="00E109A3">
      <w:pPr>
        <w:pBdr>
          <w:bottom w:val="single" w:sz="4" w:space="1" w:color="auto"/>
        </w:pBdr>
        <w:spacing w:before="240" w:after="0"/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lastRenderedPageBreak/>
        <w:t xml:space="preserve">اجابة </w:t>
      </w:r>
      <w:r w:rsidR="00295F9C"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السؤال الثاني:(</w:t>
      </w:r>
      <w:r w:rsidR="00E109A3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05</w:t>
      </w:r>
      <w:r w:rsidR="00295F9C"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نقاط)</w:t>
      </w:r>
    </w:p>
    <w:p w:rsidR="008B4EE6" w:rsidRPr="008B4EE6" w:rsidRDefault="008B4EE6" w:rsidP="008B4EE6">
      <w:pPr>
        <w:spacing w:line="360" w:lineRule="auto"/>
        <w:jc w:val="both"/>
        <w:rPr>
          <w:rFonts w:ascii="Times New Roman" w:eastAsia="Calibri" w:hAnsi="Times New Roman" w:cs="Sakkal Majalla"/>
          <w:sz w:val="32"/>
          <w:szCs w:val="32"/>
          <w:lang w:val="fr-FR"/>
        </w:rPr>
      </w:pPr>
      <w:r w:rsidRPr="008B4EE6">
        <w:rPr>
          <w:rFonts w:ascii="Times New Roman" w:eastAsia="Calibri" w:hAnsi="Times New Roman" w:cs="Sakkal Majalla"/>
          <w:b/>
          <w:bCs/>
          <w:sz w:val="32"/>
          <w:szCs w:val="32"/>
          <w:rtl/>
          <w:lang w:val="fr-FR"/>
        </w:rPr>
        <w:t xml:space="preserve">- علامة الشخص </w:t>
      </w:r>
      <w:r w:rsidRPr="008B4EE6">
        <w:rPr>
          <w:rFonts w:ascii="Times New Roman" w:eastAsia="Calibri" w:hAnsi="Times New Roman" w:cs="Sakkal Majalla"/>
          <w:b/>
          <w:bCs/>
          <w:sz w:val="32"/>
          <w:szCs w:val="32"/>
          <w:lang w:val="fr-FR"/>
        </w:rPr>
        <w:t>les marques de personne</w:t>
      </w:r>
      <w:r w:rsidRPr="008B4EE6">
        <w:rPr>
          <w:rFonts w:ascii="Times New Roman" w:eastAsia="Calibri" w:hAnsi="Times New Roman" w:cs="Sakkal Majalla"/>
          <w:b/>
          <w:bCs/>
          <w:sz w:val="32"/>
          <w:szCs w:val="32"/>
          <w:rtl/>
          <w:lang w:val="fr-FR"/>
        </w:rPr>
        <w:t>: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إشارة إلى المتكلم (الشخص الاول) أو إلى الشخص الموجه إليه (الشخص الثاني)؛ يُستخدم ضمير الغائب للإشارة إلى الأشخاص أو الأشياء الذين ليسوا ممثلين للكلام؛</w:t>
      </w:r>
    </w:p>
    <w:p w:rsidR="008B4EE6" w:rsidRPr="008B4EE6" w:rsidRDefault="008B4EE6" w:rsidP="008B4EE6">
      <w:pPr>
        <w:spacing w:line="360" w:lineRule="auto"/>
        <w:jc w:val="both"/>
        <w:rPr>
          <w:rFonts w:ascii="Times New Roman" w:eastAsia="Calibri" w:hAnsi="Times New Roman" w:cs="Sakkal Majalla"/>
          <w:sz w:val="32"/>
          <w:szCs w:val="32"/>
          <w:rtl/>
          <w:lang w:val="fr-FR"/>
        </w:rPr>
      </w:pPr>
      <w:r w:rsidRPr="008B4EE6">
        <w:rPr>
          <w:rFonts w:ascii="Times New Roman" w:eastAsia="Calibri" w:hAnsi="Times New Roman" w:cs="Sakkal Majalla"/>
          <w:b/>
          <w:bCs/>
          <w:sz w:val="32"/>
          <w:szCs w:val="32"/>
          <w:rtl/>
          <w:lang w:val="fr-FR"/>
        </w:rPr>
        <w:t xml:space="preserve">- العلامات الزمنية </w:t>
      </w:r>
      <w:r w:rsidRPr="008B4EE6">
        <w:rPr>
          <w:rFonts w:ascii="Times New Roman" w:eastAsia="Calibri" w:hAnsi="Times New Roman" w:cs="Sakkal Majalla"/>
          <w:b/>
          <w:bCs/>
          <w:sz w:val="32"/>
          <w:szCs w:val="32"/>
          <w:lang w:val="fr-FR"/>
        </w:rPr>
        <w:t>les marques temporelles</w:t>
      </w:r>
      <w:r w:rsidRPr="008B4EE6">
        <w:rPr>
          <w:rFonts w:ascii="Times New Roman" w:eastAsia="Calibri" w:hAnsi="Times New Roman" w:cs="Sakkal Majalla"/>
          <w:b/>
          <w:bCs/>
          <w:sz w:val="32"/>
          <w:szCs w:val="32"/>
          <w:rtl/>
          <w:lang w:val="fr-FR"/>
        </w:rPr>
        <w:t>: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التي تحدد الكلام فيما يتعلق بلحظة التلفظ (الأزمنة اللفظية، بعض الصفات و الظروف مثل &lt;&lt; الآن »، « غدًا »... إلخ.).</w:t>
      </w:r>
    </w:p>
    <w:p w:rsidR="008B4EE6" w:rsidRPr="008B4EE6" w:rsidRDefault="008B4EE6" w:rsidP="008B4EE6">
      <w:pPr>
        <w:spacing w:line="360" w:lineRule="auto"/>
        <w:jc w:val="both"/>
        <w:rPr>
          <w:rFonts w:ascii="Times New Roman" w:eastAsia="Calibri" w:hAnsi="Times New Roman" w:cs="Sakkal Majalla"/>
          <w:sz w:val="32"/>
          <w:szCs w:val="32"/>
          <w:rtl/>
          <w:lang w:val="fr-FR"/>
        </w:rPr>
      </w:pPr>
      <w:r w:rsidRPr="008B4EE6">
        <w:rPr>
          <w:rFonts w:ascii="Times New Roman" w:eastAsia="Calibri" w:hAnsi="Times New Roman" w:cs="Sakkal Majalla"/>
          <w:b/>
          <w:bCs/>
          <w:sz w:val="32"/>
          <w:szCs w:val="32"/>
          <w:rtl/>
          <w:lang w:val="fr-FR"/>
        </w:rPr>
        <w:t>-علامات تحدد موقع الكلام بالنسبة لمكان التبليغ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(ادوات الاشارة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démonstratifs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>مثل "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ceci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>"، "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cela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"، الظروف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adverbes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 مثل "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ici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</w:t>
      </w:r>
      <w:r w:rsidRPr="008B4EE6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>"، "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là-bas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".... إلخ).</w:t>
      </w:r>
    </w:p>
    <w:p w:rsidR="00295F9C" w:rsidRPr="00E237B5" w:rsidRDefault="008B4EE6" w:rsidP="00C641F5">
      <w:pPr>
        <w:pBdr>
          <w:bottom w:val="single" w:sz="4" w:space="1" w:color="auto"/>
        </w:pBdr>
        <w:spacing w:before="240" w:after="0"/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اجابة </w:t>
      </w:r>
      <w:r w:rsidR="00295F9C"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السؤال الثالث:  (0</w:t>
      </w:r>
      <w:r w:rsidR="00C641F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5</w:t>
      </w:r>
      <w:r w:rsidR="00295F9C"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نقاط)</w:t>
      </w:r>
    </w:p>
    <w:p w:rsidR="008B4EE6" w:rsidRPr="008B4EE6" w:rsidRDefault="008B4EE6" w:rsidP="008B4EE6">
      <w:pPr>
        <w:spacing w:line="360" w:lineRule="auto"/>
        <w:jc w:val="lowKashida"/>
        <w:rPr>
          <w:rFonts w:ascii="Times New Roman" w:eastAsia="Calibri" w:hAnsi="Times New Roman" w:cs="Sakkal Majalla"/>
          <w:sz w:val="32"/>
          <w:szCs w:val="32"/>
          <w:rtl/>
          <w:lang w:val="fr-FR"/>
        </w:rPr>
      </w:pP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حسب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levelt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فالتلفظ بكلمة ما ، مصمم على شكل إجراء يتم وفق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06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مراحل تتجسد فيها عملية الإنتاج اللفظي الشفوي ( الشكل الموالي) ، و تبدأ بنية المتكلم في قول شيء ما ( الاتصال )، و هذا ما يقود إلى تنشيط المفهوم المعجمي الذي يرغب المتكلم التعبير عنه ،ثم بعد ذلك ينقل جزء من هذا التنشيط للمفهوم المعجمي إلى اللمة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>Lemma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. أين يرتبط مع اللمة الهدف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 xml:space="preserve"> lemma cible 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و كذلك مع باقي اللّمات، فانتقاء لمة معينة يتم وفق ميكانيزم يتيح الانتقاء الكلمة الأكثر تنشيطا فالسيمات التركيبية للمة المنتقاة تصبح مهيأة لعملية الترميز النحوي اللاحق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 xml:space="preserve"> L'encodage Grammatical Subséquent 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 ( الترميز المورفولوجي )،ثم يسترجع الجهاز الخصائص الفونولوجية المرتبطة مع اللمة التي تم انتقاؤها  ( الترميز الفونولوجي) و يجهز الحركات النطقية المناسبة للكلمة المختارة و المراد التلفظ بها ،مع الأخذ بعين الاعتبار السياق التطريزي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 xml:space="preserve"> Contexte prosodique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 xml:space="preserve">( الترميز الصوتي ) و يتعلق بمستوى استرجاع الشكل اللفظي الشفوي ( اللكسام </w:t>
      </w:r>
      <w:r w:rsidRPr="008B4EE6">
        <w:rPr>
          <w:rFonts w:ascii="Times New Roman" w:eastAsia="Calibri" w:hAnsi="Times New Roman" w:cs="Sakkal Majalla"/>
          <w:sz w:val="32"/>
          <w:szCs w:val="32"/>
          <w:lang w:val="fr-FR"/>
        </w:rPr>
        <w:t xml:space="preserve"> lexème 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) و</w:t>
      </w:r>
      <w:r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 </w:t>
      </w:r>
      <w:r w:rsidRPr="008B4EE6">
        <w:rPr>
          <w:rFonts w:ascii="Times New Roman" w:eastAsia="Calibri" w:hAnsi="Times New Roman" w:cs="Sakkal Majalla"/>
          <w:sz w:val="32"/>
          <w:szCs w:val="32"/>
          <w:rtl/>
          <w:lang w:val="fr-FR"/>
        </w:rPr>
        <w:t>في النهاية تعطي هذه المراحل النطق المناسب للكلمة</w:t>
      </w:r>
      <w:r w:rsidRPr="008740F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 </w:t>
      </w:r>
    </w:p>
    <w:p w:rsidR="008B4EE6" w:rsidRDefault="008B4EE6" w:rsidP="008B4EE6">
      <w:pPr>
        <w:jc w:val="lowKashida"/>
        <w:rPr>
          <w:rFonts w:cs="Traditional Arabic"/>
          <w:sz w:val="36"/>
          <w:szCs w:val="36"/>
          <w:rtl/>
          <w:lang w:bidi="ar-DZ"/>
        </w:rPr>
      </w:pPr>
    </w:p>
    <w:p w:rsidR="00E237B5" w:rsidRPr="00E237B5" w:rsidRDefault="00E237B5" w:rsidP="00E237B5">
      <w:pPr>
        <w:rPr>
          <w:rFonts w:ascii="Times New Roman" w:eastAsia="Calibri" w:hAnsi="Times New Roman" w:cs="Sakkal Majalla"/>
          <w:sz w:val="32"/>
          <w:szCs w:val="32"/>
          <w:rtl/>
          <w:lang w:bidi="ar-DZ"/>
        </w:rPr>
      </w:pPr>
    </w:p>
    <w:p w:rsidR="00E237B5" w:rsidRDefault="009C2EF5" w:rsidP="008B4EE6">
      <w:pPr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  </w:t>
      </w:r>
    </w:p>
    <w:p w:rsidR="009C2EF5" w:rsidRPr="009C2EF5" w:rsidRDefault="009C2EF5" w:rsidP="009C2EF5">
      <w:pPr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</w:t>
      </w:r>
      <w:r w:rsidR="008B4EE6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                              </w:t>
      </w:r>
      <w:r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  استاذ المقياس:د. عبد المالك شنافي</w:t>
      </w:r>
    </w:p>
    <w:sectPr w:rsidR="009C2EF5" w:rsidRPr="009C2EF5" w:rsidSect="00211A69">
      <w:pgSz w:w="11906" w:h="16838"/>
      <w:pgMar w:top="284" w:right="707" w:bottom="568" w:left="426" w:header="708" w:footer="172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97F" w:rsidRDefault="0036597F" w:rsidP="00CD3CF2">
      <w:pPr>
        <w:spacing w:after="0" w:line="240" w:lineRule="auto"/>
      </w:pPr>
      <w:r>
        <w:separator/>
      </w:r>
    </w:p>
  </w:endnote>
  <w:endnote w:type="continuationSeparator" w:id="1">
    <w:p w:rsidR="0036597F" w:rsidRDefault="0036597F" w:rsidP="00CD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97F" w:rsidRDefault="0036597F" w:rsidP="00CD3CF2">
      <w:pPr>
        <w:spacing w:after="0" w:line="240" w:lineRule="auto"/>
      </w:pPr>
      <w:r>
        <w:separator/>
      </w:r>
    </w:p>
  </w:footnote>
  <w:footnote w:type="continuationSeparator" w:id="1">
    <w:p w:rsidR="0036597F" w:rsidRDefault="0036597F" w:rsidP="00CD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0DDB"/>
    <w:multiLevelType w:val="hybridMultilevel"/>
    <w:tmpl w:val="77F673B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B41985"/>
    <w:multiLevelType w:val="hybridMultilevel"/>
    <w:tmpl w:val="588672DC"/>
    <w:lvl w:ilvl="0" w:tplc="28F6BB72">
      <w:start w:val="1"/>
      <w:numFmt w:val="bullet"/>
      <w:lvlText w:val="-"/>
      <w:lvlJc w:val="left"/>
      <w:pPr>
        <w:ind w:left="1004" w:hanging="360"/>
      </w:pPr>
      <w:rPr>
        <w:rFonts w:ascii="Sakkal Majalla" w:eastAsia="Calibri" w:hAnsi="Sakkal Majalla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F0F740E"/>
    <w:multiLevelType w:val="hybridMultilevel"/>
    <w:tmpl w:val="140C929E"/>
    <w:lvl w:ilvl="0" w:tplc="4A9CC6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0E6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684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E4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DAEA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92F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82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65E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82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D42875"/>
    <w:multiLevelType w:val="hybridMultilevel"/>
    <w:tmpl w:val="8862781E"/>
    <w:lvl w:ilvl="0" w:tplc="63FE89BC">
      <w:start w:val="10"/>
      <w:numFmt w:val="bullet"/>
      <w:suff w:val="space"/>
      <w:lvlText w:val="-"/>
      <w:lvlJc w:val="left"/>
      <w:pPr>
        <w:ind w:left="720" w:hanging="360"/>
      </w:pPr>
      <w:rPr>
        <w:rFonts w:ascii="Sakkal Majalla" w:eastAsia="Calibri" w:hAnsi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45778"/>
    <w:multiLevelType w:val="hybridMultilevel"/>
    <w:tmpl w:val="5CBE716C"/>
    <w:lvl w:ilvl="0" w:tplc="BA2CA74A">
      <w:start w:val="1"/>
      <w:numFmt w:val="bullet"/>
      <w:suff w:val="space"/>
      <w:lvlText w:val="-"/>
      <w:lvlJc w:val="left"/>
      <w:pPr>
        <w:ind w:left="720" w:hanging="360"/>
      </w:pPr>
      <w:rPr>
        <w:rFonts w:ascii="Sakkal Majalla" w:eastAsia="Calibri" w:hAnsi="Sakkal Majalla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D50497"/>
    <w:multiLevelType w:val="hybridMultilevel"/>
    <w:tmpl w:val="680CF80A"/>
    <w:lvl w:ilvl="0" w:tplc="4AE0D1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B15FB7"/>
    <w:multiLevelType w:val="hybridMultilevel"/>
    <w:tmpl w:val="A8B011EC"/>
    <w:lvl w:ilvl="0" w:tplc="28F6BB72">
      <w:start w:val="1"/>
      <w:numFmt w:val="bullet"/>
      <w:suff w:val="space"/>
      <w:lvlText w:val="-"/>
      <w:lvlJc w:val="left"/>
      <w:pPr>
        <w:ind w:left="1440" w:hanging="360"/>
      </w:pPr>
      <w:rPr>
        <w:rFonts w:ascii="Sakkal Majalla" w:eastAsia="Calibri" w:hAnsi="Sakkal Majalla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C531BB"/>
    <w:multiLevelType w:val="hybridMultilevel"/>
    <w:tmpl w:val="FD203956"/>
    <w:lvl w:ilvl="0" w:tplc="472E22F2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F9C"/>
    <w:rsid w:val="000119AC"/>
    <w:rsid w:val="0012205C"/>
    <w:rsid w:val="00132D7A"/>
    <w:rsid w:val="001A7696"/>
    <w:rsid w:val="001C2DCF"/>
    <w:rsid w:val="001D3C3B"/>
    <w:rsid w:val="00211A69"/>
    <w:rsid w:val="00295F9C"/>
    <w:rsid w:val="002D12A4"/>
    <w:rsid w:val="00326F55"/>
    <w:rsid w:val="0036597F"/>
    <w:rsid w:val="004708D7"/>
    <w:rsid w:val="0049233C"/>
    <w:rsid w:val="004A48B4"/>
    <w:rsid w:val="00546647"/>
    <w:rsid w:val="005C51AE"/>
    <w:rsid w:val="00692655"/>
    <w:rsid w:val="006B3A91"/>
    <w:rsid w:val="006E1FAC"/>
    <w:rsid w:val="00826279"/>
    <w:rsid w:val="008569F4"/>
    <w:rsid w:val="008710CC"/>
    <w:rsid w:val="008A130C"/>
    <w:rsid w:val="008B4A40"/>
    <w:rsid w:val="008B4EE6"/>
    <w:rsid w:val="008D4FA6"/>
    <w:rsid w:val="009366C2"/>
    <w:rsid w:val="00982380"/>
    <w:rsid w:val="009865AF"/>
    <w:rsid w:val="009C2EF5"/>
    <w:rsid w:val="00A0446C"/>
    <w:rsid w:val="00A11CD2"/>
    <w:rsid w:val="00A2381F"/>
    <w:rsid w:val="00A2679B"/>
    <w:rsid w:val="00A54C59"/>
    <w:rsid w:val="00A915F2"/>
    <w:rsid w:val="00AB6994"/>
    <w:rsid w:val="00B925C4"/>
    <w:rsid w:val="00C108C5"/>
    <w:rsid w:val="00C313FC"/>
    <w:rsid w:val="00C55AEA"/>
    <w:rsid w:val="00C641F5"/>
    <w:rsid w:val="00C8299A"/>
    <w:rsid w:val="00CA6C79"/>
    <w:rsid w:val="00CD3CF2"/>
    <w:rsid w:val="00D160BC"/>
    <w:rsid w:val="00DB03D8"/>
    <w:rsid w:val="00DD61E5"/>
    <w:rsid w:val="00E109A3"/>
    <w:rsid w:val="00E237B5"/>
    <w:rsid w:val="00E87F38"/>
    <w:rsid w:val="00FD7C4E"/>
    <w:rsid w:val="00FF5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CF2"/>
  </w:style>
  <w:style w:type="paragraph" w:styleId="Footer">
    <w:name w:val="footer"/>
    <w:basedOn w:val="Normal"/>
    <w:link w:val="FooterChar"/>
    <w:uiPriority w:val="99"/>
    <w:unhideWhenUsed/>
    <w:rsid w:val="00CD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CF2"/>
  </w:style>
  <w:style w:type="paragraph" w:styleId="ListParagraph">
    <w:name w:val="List Paragraph"/>
    <w:basedOn w:val="Normal"/>
    <w:uiPriority w:val="34"/>
    <w:qFormat/>
    <w:rsid w:val="00C313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12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2021-04-04T02:03:00Z</cp:lastPrinted>
  <dcterms:created xsi:type="dcterms:W3CDTF">2026-01-10T08:49:00Z</dcterms:created>
  <dcterms:modified xsi:type="dcterms:W3CDTF">2026-01-10T09:04:00Z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a4dfd221ed2162410d59215274059bedd5c36f2b375da5b84f5d3bc9ec117e72</vt:lpwstr>
  </property>
</Properties>
</file>