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78" w:rsidRPr="00134178" w:rsidRDefault="00134178" w:rsidP="00134178">
      <w:pPr>
        <w:bidi/>
        <w:spacing w:after="300" w:line="24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1341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جامعة العربي بن مهيدي-أم البواقي</w:t>
      </w:r>
    </w:p>
    <w:p w:rsidR="00134178" w:rsidRPr="00134178" w:rsidRDefault="00134178" w:rsidP="00134178">
      <w:pPr>
        <w:bidi/>
        <w:spacing w:after="300" w:line="24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1341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كلية العلم الاجتماعية والانسانية</w:t>
      </w:r>
    </w:p>
    <w:p w:rsidR="00134178" w:rsidRPr="00134178" w:rsidRDefault="00134178" w:rsidP="00134178">
      <w:pPr>
        <w:bidi/>
        <w:spacing w:after="300" w:line="24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1341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قسم العلوم الاجتماعية</w:t>
      </w:r>
    </w:p>
    <w:p w:rsidR="00134178" w:rsidRPr="00134178" w:rsidRDefault="00134178" w:rsidP="00134178">
      <w:pPr>
        <w:bidi/>
        <w:spacing w:after="300" w:line="24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1341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المستوى: ماستر2</w:t>
      </w:r>
    </w:p>
    <w:p w:rsidR="00134178" w:rsidRPr="00134178" w:rsidRDefault="00134178" w:rsidP="00134178">
      <w:pPr>
        <w:bidi/>
        <w:spacing w:after="300" w:line="24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r w:rsidRPr="001341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التخصص: علم النفس المدرسي</w:t>
      </w:r>
    </w:p>
    <w:p w:rsidR="00134178" w:rsidRPr="00134178" w:rsidRDefault="00134178" w:rsidP="00134178">
      <w:pPr>
        <w:bidi/>
        <w:spacing w:after="300" w:line="24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bookmarkStart w:id="0" w:name="_GoBack"/>
      <w:bookmarkEnd w:id="0"/>
      <w:r w:rsidRPr="001341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السداسي: الثالث</w:t>
      </w:r>
    </w:p>
    <w:p w:rsidR="00134178" w:rsidRPr="00134178" w:rsidRDefault="00134178" w:rsidP="00134178">
      <w:pPr>
        <w:bidi/>
        <w:spacing w:after="300" w:line="24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</w:pPr>
      <w:proofErr w:type="gramStart"/>
      <w:r w:rsidRPr="001341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السنة</w:t>
      </w:r>
      <w:proofErr w:type="gramEnd"/>
      <w:r w:rsidRPr="00134178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 xml:space="preserve"> الجامعية 2025-2026</w:t>
      </w:r>
    </w:p>
    <w:p w:rsidR="00134178" w:rsidRDefault="00134178" w:rsidP="00134178">
      <w:pPr>
        <w:bidi/>
        <w:spacing w:after="300" w:line="240" w:lineRule="exact"/>
        <w:ind w:left="-567" w:right="-1134"/>
        <w:jc w:val="center"/>
        <w:rPr>
          <w:rFonts w:ascii="Sakkal Majalla" w:eastAsia="Times New Roman" w:hAnsi="Sakkal Majalla" w:cs="Sakkal Majalla" w:hint="cs"/>
          <w:b/>
          <w:bCs/>
          <w:sz w:val="24"/>
          <w:szCs w:val="24"/>
          <w:rtl/>
          <w:lang w:eastAsia="fr-FR"/>
        </w:rPr>
      </w:pPr>
    </w:p>
    <w:p w:rsidR="005D1DC9" w:rsidRPr="00134178" w:rsidRDefault="005D1DC9" w:rsidP="00134178">
      <w:pPr>
        <w:bidi/>
        <w:spacing w:after="300" w:line="240" w:lineRule="exact"/>
        <w:ind w:left="-567" w:right="-1134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 w:rsidRPr="001341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ال</w:t>
      </w:r>
      <w:r w:rsidR="00D45B85" w:rsidRPr="001341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إ</w:t>
      </w:r>
      <w:r w:rsidRPr="001341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جابة النموذجية</w:t>
      </w:r>
      <w:r w:rsidR="00D45B85" w:rsidRPr="001341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وسلم التنقيط </w:t>
      </w:r>
      <w:r w:rsidRPr="001341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لمراقبة في مقياس </w:t>
      </w:r>
      <w:r w:rsidR="00D45B85" w:rsidRPr="001341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"</w:t>
      </w:r>
      <w:proofErr w:type="spellStart"/>
      <w:r w:rsidRPr="001341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البياغوجيا</w:t>
      </w:r>
      <w:proofErr w:type="spellEnd"/>
      <w:r w:rsidRPr="001341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Pr="001341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الفارقية</w:t>
      </w:r>
      <w:proofErr w:type="spellEnd"/>
      <w:r w:rsidR="00D45B85" w:rsidRPr="0013417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"</w:t>
      </w:r>
    </w:p>
    <w:p w:rsidR="00134178" w:rsidRDefault="00134178" w:rsidP="00D45B85">
      <w:pPr>
        <w:bidi/>
        <w:spacing w:after="300" w:line="240" w:lineRule="auto"/>
        <w:ind w:left="-567" w:right="-1134"/>
        <w:rPr>
          <w:rFonts w:ascii="Sakkal Majalla" w:eastAsia="Times New Roman" w:hAnsi="Sakkal Majalla" w:cs="Sakkal Majalla" w:hint="cs"/>
          <w:b/>
          <w:bCs/>
          <w:sz w:val="24"/>
          <w:szCs w:val="24"/>
          <w:rtl/>
          <w:lang w:eastAsia="fr-FR"/>
        </w:rPr>
      </w:pPr>
    </w:p>
    <w:p w:rsidR="005D1DC9" w:rsidRPr="00134178" w:rsidRDefault="005D1DC9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134178">
        <w:rPr>
          <w:rFonts w:ascii="Sakkal Majalla" w:eastAsia="Times New Roman" w:hAnsi="Sakkal Majalla" w:cs="Sakkal Majalla" w:hint="cs"/>
          <w:b/>
          <w:bCs/>
          <w:sz w:val="24"/>
          <w:szCs w:val="24"/>
          <w:highlight w:val="lightGray"/>
          <w:rtl/>
          <w:lang w:eastAsia="fr-FR"/>
        </w:rPr>
        <w:t>1</w:t>
      </w:r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lang w:eastAsia="fr-FR"/>
        </w:rPr>
        <w:t>–</w:t>
      </w:r>
      <w:r w:rsidR="000B451A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عرف (ي) البي</w:t>
      </w:r>
      <w:r w:rsidR="00D45B85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دا</w:t>
      </w:r>
      <w:r w:rsidR="000B451A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 xml:space="preserve">غوجيا </w:t>
      </w:r>
      <w:proofErr w:type="spellStart"/>
      <w:r w:rsidR="000B451A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الفارقية</w:t>
      </w:r>
      <w:proofErr w:type="spellEnd"/>
      <w:r w:rsidR="000B451A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. (05ن</w:t>
      </w:r>
      <w:r w:rsid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 xml:space="preserve">)                                                                                                                                 .   </w:t>
      </w:r>
      <w:r w:rsidR="00134178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B451A" w:rsidRPr="00134178" w:rsidRDefault="000B451A" w:rsidP="00134178">
      <w:pPr>
        <w:bidi/>
        <w:spacing w:after="300" w:line="240" w:lineRule="auto"/>
        <w:ind w:left="-567"/>
        <w:jc w:val="both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استخدم هذا المفهوم لأول مرة سنة 1973م من طرف المربي الفرنسي </w:t>
      </w:r>
      <w:r w:rsidR="00D45B85" w:rsidRPr="00134178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"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لويس لوغران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”Louis Legrand </w:t>
      </w:r>
      <w:r w:rsidR="00D45B85" w:rsidRPr="00134178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في سياق البحث عن آليات جديدة لتطوير التدريس و محاربة ظاهرة الفشل الدراسي المدرسي. وقد عرف ” لوغران” البيداغوجيا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الفارقية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بأنها طريقة تربوية تستخدم مجموعة من الوسائل التعليمية التعلمية قصد مساعدة الأطفال المختلفين في العمر و القدرات و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السلـوكات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، و المنتمين إلى فصل واحد ، على الوصول بطرق مختلفة إلى الأهداف نفسها. </w:t>
      </w:r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نستخلص من هذا التعريف أن البيداغوجيا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الفارقية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مقاربة تربوية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: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تقوم على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مبدإ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تنويع الطرق و الوسائل التعليمية التعلمية</w:t>
      </w:r>
      <w:r w:rsidR="005D1DC9" w:rsidRPr="00134178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. </w:t>
      </w:r>
      <w:r w:rsidR="005D1DC9"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–</w:t>
      </w:r>
      <w:r w:rsidR="005D1DC9" w:rsidRPr="00134178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تأ</w:t>
      </w:r>
      <w:r w:rsidR="005D1DC9"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خذ بعين الاعتبار تنوع المتعلمين واختلافهم من حيث السن و القدرات و السلوك</w:t>
      </w:r>
      <w:r w:rsidR="00D45B85" w:rsidRPr="00134178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ي</w:t>
      </w:r>
      <w:r w:rsidR="005D1DC9"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ات</w:t>
      </w:r>
      <w:r w:rsidR="005D1DC9"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.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تتسم بخصوصيتها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التفريدية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للمتعلم، وتعترف بالتلميذ كشخص له إيقاعه الخاص في التعلم و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تمثلاته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الخاصة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.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تفتح المجال لجميع المتعلمين في الفصل الدراسي الواحد، لبلوغ الأهداف المنشودة بدرجة متساوية أو ملائمة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.</w:t>
      </w:r>
    </w:p>
    <w:p w:rsidR="005D1DC9" w:rsidRPr="00134178" w:rsidRDefault="005D1DC9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2</w:t>
      </w:r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lang w:eastAsia="fr-FR"/>
        </w:rPr>
        <w:t>–</w:t>
      </w:r>
      <w:r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 xml:space="preserve">حدد(ي) </w:t>
      </w:r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eastAsia="fr-FR"/>
        </w:rPr>
        <w:t>أسس البيداغوجي</w:t>
      </w:r>
      <w:r w:rsidR="00D45B85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ا</w:t>
      </w:r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eastAsia="fr-FR"/>
        </w:rPr>
        <w:t xml:space="preserve"> </w:t>
      </w:r>
      <w:proofErr w:type="spellStart"/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eastAsia="fr-FR"/>
        </w:rPr>
        <w:t>الفارقية</w:t>
      </w:r>
      <w:proofErr w:type="spellEnd"/>
      <w:r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. (05ن</w:t>
      </w:r>
      <w:r w:rsid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)                                                                                                                       .</w:t>
      </w:r>
    </w:p>
    <w:p w:rsidR="005D1DC9" w:rsidRPr="00134178" w:rsidRDefault="005D1DC9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تنطلق البيداغوجيا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الفارقية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من مبدأ وجود فروق فردية بين المتعلمين ، يمكن تلخيصها في الآتي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:</w:t>
      </w:r>
    </w:p>
    <w:p w:rsidR="005D1DC9" w:rsidRPr="00134178" w:rsidRDefault="005D1DC9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فوارق معرفية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 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في درجة اكتساب المعارف المفروضة من لدن المؤسسة ، و إغناء مساراتهم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العقلية .</w:t>
      </w:r>
      <w:proofErr w:type="gram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 تتحكم هذه الفروق في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تمثلاتهم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 مراحل نموهم العملي و طرق تفكيرهم ، واستراتيجيات التعلم لديهم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</w:p>
    <w:p w:rsidR="005D1DC9" w:rsidRPr="00134178" w:rsidRDefault="005D1DC9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– </w:t>
      </w:r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فوارق </w:t>
      </w:r>
      <w:proofErr w:type="spellStart"/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سوسيو</w:t>
      </w:r>
      <w:proofErr w:type="spellEnd"/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- ثقافية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 :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و تشمل القيم ، المعتقدات ، تاريخ الأسر ، اللغة ، أنماط التنشئة الاجتماعية ، المستوى المعيشي و الخصوصيات الثقافية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.</w:t>
      </w:r>
    </w:p>
    <w:p w:rsidR="000B451A" w:rsidRPr="00134178" w:rsidRDefault="005D1DC9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lastRenderedPageBreak/>
        <w:t xml:space="preserve">– </w:t>
      </w:r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فوارق سيكولوجية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 :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تتحكم شخصية التلميذ بشكل كبير في دافعيته ، إرادته ، انتباهه و اهتماماته ، قدراته الإبداعية ، فضوله ، أهوائه ، توازنه و إيقاعاته في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التعلم .</w:t>
      </w:r>
      <w:proofErr w:type="gram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وما دام للتلاميذ مستوى عيش و شخصية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مختلفة ,</w:t>
      </w:r>
      <w:proofErr w:type="gram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فإنه من المفروض أن تكون بينهم فوارق سيكولوجية</w:t>
      </w:r>
    </w:p>
    <w:p w:rsidR="000B451A" w:rsidRPr="00134178" w:rsidRDefault="005D1DC9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3</w:t>
      </w:r>
      <w:r w:rsidRPr="00134178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lang w:eastAsia="fr-FR"/>
        </w:rPr>
        <w:t>–</w:t>
      </w:r>
      <w:r w:rsidR="000B451A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 xml:space="preserve">ما هي </w:t>
      </w:r>
      <w:r w:rsidR="000B451A" w:rsidRPr="00134178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rtl/>
          <w:lang w:eastAsia="fr-FR"/>
        </w:rPr>
        <w:t>غايات و أهداف</w:t>
      </w:r>
      <w:r w:rsidR="000B451A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 xml:space="preserve"> البيداغوجيا </w:t>
      </w:r>
      <w:proofErr w:type="spellStart"/>
      <w:r w:rsidR="000B451A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الفارقية</w:t>
      </w:r>
      <w:proofErr w:type="spellEnd"/>
      <w:r w:rsidR="000B451A" w:rsidRP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؟ (10ن</w:t>
      </w:r>
      <w:r w:rsidR="00134178"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rtl/>
          <w:lang w:eastAsia="fr-FR"/>
        </w:rPr>
        <w:t>)                                                                                                          .</w:t>
      </w:r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ي</w:t>
      </w:r>
      <w:r w:rsidRPr="00134178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هدف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 تطبيق البيداغوجيا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الفارقية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 في وضعيات تعليمية و تقويمية ملائمة للحاجات و الصعوبات الفردية للتلاميذ إلى تحقيق جملة من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الأهداف،أبرزها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:</w:t>
      </w:r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الوعي بالقدرات و المهارات الفردية المتعلمين و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تنميتها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–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اعتبار شخصية المتعلم في جميع أبعادها المعرفية/الوجدانية/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الاجتماعية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تحفيز الطلبة على التعلم</w:t>
      </w:r>
      <w:r w:rsidR="005D1DC9" w:rsidRPr="00134178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 xml:space="preserve"> </w:t>
      </w:r>
      <w:r w:rsidR="005D1DC9"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–</w:t>
      </w:r>
      <w:r w:rsidR="005D1DC9"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ألعاب تعليمية للأطفال</w:t>
      </w:r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الحد من ظاهرة الفشل الدراسي ، و التقليص من ظاهرة الهدر 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المدرسي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هدم الفوارق الفردية بين المتعلمين، و تحقيق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مبدإ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المساواة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تحسين العلاقة التي تربط بين المدرس و التلميذ، مما يؤدي إلى خلق فضاء مدرسي يشعر فيه المتعلم بالارتياح و الرغبة في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التعلم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إذكاء روح التعاون لدى المتعلمين ، و تدريبهم على التواصل الاجتماعي وقبول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الاختلاف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إكسابهم الكفايات الأساس و جعلهم قادرين على توظيفها في حياتهم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العامة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rtl/>
          <w:lang w:eastAsia="fr-FR" w:bidi="ar-DZ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تطوير نوعية المخرجات</w:t>
      </w:r>
      <w:proofErr w:type="gramStart"/>
      <w:r w:rsidR="005D1DC9"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>–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  <w:r w:rsidR="005D1DC9"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5D1DC9"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إغناء التفاعل الاجتماعي</w:t>
      </w:r>
      <w:r w:rsidR="005D1DC9"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. </w:t>
      </w:r>
      <w:r w:rsidR="005D1DC9"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التشجيع على الاستقلالية</w:t>
      </w:r>
      <w:r w:rsidR="005D1DC9"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تشجيع التعلم الذاتي ، وجعل التلميذ فاعلا في بناء الدرس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والمعرفة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</w:p>
    <w:p w:rsidR="000B451A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تنمية و تطوير الانفعالات الإيجابية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( الثقة</w:t>
      </w:r>
      <w:proofErr w:type="gram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, الأمان , اللذة ) و التي تولد الدافعية التي بدونها لا يمكن حدوث أي تعلم . كما أنها تسهل معالجة و تخزين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المعلومات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</w:p>
    <w:p w:rsidR="00F862E5" w:rsidRPr="00134178" w:rsidRDefault="000B451A" w:rsidP="00134178">
      <w:pPr>
        <w:bidi/>
        <w:spacing w:after="300" w:line="240" w:lineRule="auto"/>
        <w:ind w:left="-567"/>
        <w:rPr>
          <w:rFonts w:ascii="Sakkal Majalla" w:eastAsia="Times New Roman" w:hAnsi="Sakkal Majalla" w:cs="Sakkal Majalla"/>
          <w:sz w:val="32"/>
          <w:szCs w:val="32"/>
          <w:lang w:eastAsia="fr-FR" w:bidi="ar-DZ"/>
        </w:rPr>
      </w:pP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– </w:t>
      </w:r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تجنب كثير من </w:t>
      </w:r>
      <w:proofErr w:type="spell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السلوكات</w:t>
      </w:r>
      <w:proofErr w:type="spellEnd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غير المرغوب فيها داخل الفصل ، و التي تعرقل سير الدرس، مثل: الشغب و العنف بمختلف </w:t>
      </w:r>
      <w:proofErr w:type="gramStart"/>
      <w:r w:rsidRPr="00134178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أشكاله</w:t>
      </w:r>
      <w:r w:rsidRPr="00134178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.</w:t>
      </w:r>
      <w:proofErr w:type="gramEnd"/>
    </w:p>
    <w:sectPr w:rsidR="00F862E5" w:rsidRPr="00134178" w:rsidSect="00134178">
      <w:pgSz w:w="11906" w:h="16838"/>
      <w:pgMar w:top="567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1A"/>
    <w:rsid w:val="000B451A"/>
    <w:rsid w:val="00134178"/>
    <w:rsid w:val="005D1DC9"/>
    <w:rsid w:val="00D45B85"/>
    <w:rsid w:val="00F8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4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2025-12-31T15:27:00Z</dcterms:created>
  <dcterms:modified xsi:type="dcterms:W3CDTF">2026-01-15T20:47:00Z</dcterms:modified>
</cp:coreProperties>
</file>