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6F" w:rsidRPr="00D227D2" w:rsidRDefault="00CA766F" w:rsidP="00CA766F">
      <w:pPr>
        <w:bidi/>
        <w:spacing w:line="240" w:lineRule="auto"/>
        <w:jc w:val="center"/>
        <w:rPr>
          <w:rFonts w:ascii="Traditional Arabic" w:hAnsi="Traditional Arabic" w:cs="Traditional Arabic"/>
          <w:i/>
          <w:iCs/>
          <w:sz w:val="36"/>
          <w:szCs w:val="36"/>
          <w:lang w:bidi="ar-DZ"/>
        </w:rPr>
      </w:pP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وزارة التعليم العالي والبحث العلمي</w:t>
      </w:r>
    </w:p>
    <w:p w:rsidR="00CA766F" w:rsidRPr="00D227D2" w:rsidRDefault="00CA766F" w:rsidP="00CA766F">
      <w:pPr>
        <w:bidi/>
        <w:spacing w:line="240" w:lineRule="auto"/>
        <w:jc w:val="center"/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</w:pP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جامعة العربي بن مهيدي – أم البواقي-</w:t>
      </w:r>
    </w:p>
    <w:p w:rsidR="00CA766F" w:rsidRPr="00D227D2" w:rsidRDefault="00CA766F" w:rsidP="00CA766F">
      <w:pPr>
        <w:bidi/>
        <w:spacing w:line="240" w:lineRule="auto"/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</w:pP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كلية العلوم الإنسانية والاجتماعية                                     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     </w:t>
      </w:r>
      <w:r w:rsidRPr="00D227D2"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     </w:t>
      </w: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    المدة الزمنية: ساعة ونصف.                                                                                      </w:t>
      </w:r>
    </w:p>
    <w:p w:rsidR="00CA766F" w:rsidRPr="00D227D2" w:rsidRDefault="00CA766F" w:rsidP="00CA766F">
      <w:pPr>
        <w:tabs>
          <w:tab w:val="left" w:pos="6071"/>
        </w:tabs>
        <w:bidi/>
        <w:spacing w:line="240" w:lineRule="auto"/>
        <w:jc w:val="both"/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</w:pP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قسم  العلوم الإنسانية- أولى جذع مشترك علوم إنسانية</w:t>
      </w: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    </w:t>
      </w: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       الموسم </w:t>
      </w:r>
      <w:r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الجامعي</w:t>
      </w:r>
      <w:r w:rsidRPr="00D227D2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:20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>24 /2025</w:t>
      </w:r>
    </w:p>
    <w:p w:rsidR="00CA766F" w:rsidRPr="001C1DE3" w:rsidRDefault="00CA766F" w:rsidP="00CA766F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i/>
          <w:iCs/>
          <w:sz w:val="40"/>
          <w:szCs w:val="40"/>
          <w:lang w:bidi="ar-DZ"/>
        </w:rPr>
      </w:pPr>
      <w:r w:rsidRPr="001C1DE3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 xml:space="preserve">امتحان -السداسي </w:t>
      </w:r>
      <w:r w:rsidR="006972C3" w:rsidRPr="001C1DE3"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bidi="ar-DZ"/>
        </w:rPr>
        <w:t>الأول-في</w:t>
      </w:r>
      <w:r w:rsidRPr="001C1DE3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 xml:space="preserve"> </w:t>
      </w:r>
      <w:r w:rsidR="006972C3" w:rsidRPr="001C1DE3"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bidi="ar-DZ"/>
        </w:rPr>
        <w:t>مقياس:</w:t>
      </w:r>
      <w:r w:rsidRPr="001C1DE3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 xml:space="preserve"> تاريخ الجزائر العام</w:t>
      </w:r>
    </w:p>
    <w:p w:rsidR="00CA766F" w:rsidRDefault="00CA766F" w:rsidP="00CA766F">
      <w:pPr>
        <w:bidi/>
        <w:spacing w:line="240" w:lineRule="auto"/>
        <w:jc w:val="both"/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</w:pPr>
      <w:r w:rsidRPr="001F710A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 xml:space="preserve">السؤال الأول:  </w:t>
      </w:r>
      <w:r w:rsidRPr="00EE75D7">
        <w:rPr>
          <w:rFonts w:ascii="Sakkal Majalla" w:hAnsi="Sakkal Majalla" w:cs="Rateb lotusb22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Pr="001F710A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 </w:t>
      </w:r>
    </w:p>
    <w:p w:rsidR="00CA766F" w:rsidRDefault="006972C3" w:rsidP="0004288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 w:rsidRP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01-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>اجتازت</w:t>
      </w:r>
      <w:r w:rsidR="00CA766F" w:rsidRPr="000E7887"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الجزائر </w:t>
      </w:r>
      <w:r w:rsidR="00CA766F" w:rsidRPr="000E7887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كغيرها من الشعوب والأمم </w:t>
      </w:r>
      <w:r w:rsidR="00CA766F" w:rsidRPr="000E7887"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فترة 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العصر</w:t>
      </w:r>
      <w:bookmarkStart w:id="0" w:name="_GoBack"/>
      <w:bookmarkEnd w:id="0"/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الباليوليتي</w:t>
      </w:r>
      <w:proofErr w:type="spellEnd"/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lang w:bidi="ar-DZ"/>
        </w:rPr>
        <w:t>Paléothique</w:t>
      </w:r>
      <w:proofErr w:type="spellEnd"/>
      <w:r w:rsidR="00CA766F" w:rsidRPr="000E7887"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الذي يمتد من حوالي 2.3 مليون سنة إلى 12 ألف سنة ق.م، و</w:t>
      </w:r>
      <w:r w:rsidR="00CA766F" w:rsidRPr="000E7887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ال</w:t>
      </w:r>
      <w:r w:rsidR="00CA766F" w:rsidRPr="000E7887"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>ذي</w:t>
      </w:r>
      <w:r w:rsidR="00CA766F" w:rsidRPr="000E7887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 عرفت فيه البلاد ظهور مدنيات، ما يجيز الاعتقاد أن المنطقة كانت مهدا من مهود البشرية</w:t>
      </w:r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. تحدث 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بإيجاز </w:t>
      </w:r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عن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السجل الحضاري </w:t>
      </w:r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ا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لذ</w:t>
      </w:r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ي 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ميز</w:t>
      </w:r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 ا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val="en-US" w:bidi="ar-DZ"/>
        </w:rPr>
        <w:t>لمنطقة</w:t>
      </w:r>
      <w:r w:rsidR="00CA766F" w:rsidRPr="000E788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 خلال فترة العصر الحجري القديم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ال</w:t>
      </w:r>
      <w:r w:rsid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أعلى</w:t>
      </w:r>
      <w:r w:rsidR="00CA766F"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.</w:t>
      </w:r>
    </w:p>
    <w:p w:rsidR="00CA766F" w:rsidRDefault="00CA766F" w:rsidP="00CA766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 w:rsidRP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02-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اشرح المصطلحات الآتية: </w:t>
      </w:r>
      <w:proofErr w:type="spellStart"/>
      <w:r w:rsidRP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الأريوسية</w:t>
      </w:r>
      <w:proofErr w:type="spellEnd"/>
      <w:r w:rsidRP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، </w:t>
      </w:r>
      <w:proofErr w:type="spellStart"/>
      <w:r w:rsidRP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تابسوس</w:t>
      </w:r>
      <w:proofErr w:type="spellEnd"/>
      <w:r w:rsidRP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، </w:t>
      </w:r>
      <w:proofErr w:type="spellStart"/>
      <w:r w:rsidRP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الوندال</w:t>
      </w:r>
      <w:proofErr w:type="spellEnd"/>
      <w:r w:rsidRPr="00CA766F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.</w:t>
      </w:r>
    </w:p>
    <w:p w:rsidR="00CA766F" w:rsidRPr="000E7887" w:rsidRDefault="00CA766F" w:rsidP="00CA766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03- </w:t>
      </w:r>
      <w:r w:rsidRPr="00CA766F"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>عرف بالشخصيات الآتية</w:t>
      </w: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: </w:t>
      </w:r>
      <w:proofErr w:type="spellStart"/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ماسينيسا</w:t>
      </w:r>
      <w:proofErr w:type="spellEnd"/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، </w:t>
      </w:r>
      <w:proofErr w:type="spellStart"/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جنسريق</w:t>
      </w:r>
      <w:proofErr w:type="spellEnd"/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.</w:t>
      </w:r>
      <w:r w:rsidRPr="000E788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</w:t>
      </w:r>
    </w:p>
    <w:p w:rsidR="00CA766F" w:rsidRPr="000B6847" w:rsidRDefault="00CA766F" w:rsidP="0004288E">
      <w:pPr>
        <w:bidi/>
        <w:spacing w:after="0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 w:rsidRP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04-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bidi="ar-DZ"/>
        </w:rPr>
        <w:t xml:space="preserve"> </w:t>
      </w:r>
      <w:r w:rsidRPr="00EA7F8A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كان الاحتلال الروماني لبلاد المغرب القديم بطيئا ومتدرجا استمر زهاء قرن من الزمن، وانتهى بوضع المنطقة </w:t>
      </w:r>
      <w:proofErr w:type="spellStart"/>
      <w:r w:rsidRPr="00EA7F8A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>النوميدية</w:t>
      </w:r>
      <w:proofErr w:type="spellEnd"/>
      <w:r w:rsidRPr="00EA7F8A">
        <w:rPr>
          <w:rFonts w:ascii="Traditional Arabic" w:hAnsi="Traditional Arabic" w:cs="Traditional Arabic"/>
          <w:i/>
          <w:iCs/>
          <w:sz w:val="36"/>
          <w:szCs w:val="36"/>
          <w:rtl/>
          <w:lang w:bidi="ar-DZ"/>
        </w:rPr>
        <w:t xml:space="preserve"> تحت الحكم الروماني المباشر، وبذلك تكرست السيطرة الرومانية على الشمال الإفريقي كله من طرابلس إلى طنجة.</w:t>
      </w:r>
      <w:r w:rsidRPr="000B6847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 </w:t>
      </w:r>
      <w:r w:rsidRPr="000B684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تتبع </w:t>
      </w:r>
      <w:r w:rsid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على معلم زمني </w:t>
      </w:r>
      <w:r w:rsidRPr="000B684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مراحل الإخضاع</w:t>
      </w:r>
      <w:r w:rsidRPr="000B684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0B684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الروماني للشمال الإفريقي مبرزا </w:t>
      </w:r>
      <w:r w:rsid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الإجراءات الإدارية والعسكرية التي استتبعت </w:t>
      </w:r>
      <w:r w:rsidR="003277B0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ترتيب عمليات الاستفادة من ثمرة الاحتلال</w:t>
      </w:r>
      <w:r w:rsidRPr="000B6847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.</w:t>
      </w:r>
    </w:p>
    <w:p w:rsidR="00CA766F" w:rsidRPr="001F710A" w:rsidRDefault="00182DB7" w:rsidP="00182DB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>السؤال الثا</w:t>
      </w: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bidi="ar-DZ"/>
        </w:rPr>
        <w:t>ني</w:t>
      </w:r>
      <w:r w:rsidR="00CA766F" w:rsidRPr="001F710A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 xml:space="preserve">: </w:t>
      </w:r>
    </w:p>
    <w:p w:rsidR="00CA766F" w:rsidRDefault="00CA766F" w:rsidP="00EF70E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"...</w:t>
      </w:r>
      <w:r w:rsidRPr="000B6847">
        <w:rPr>
          <w:rFonts w:ascii="Traditional Arabic" w:hAnsi="Traditional Arabic" w:cs="Traditional Arabic"/>
          <w:i/>
          <w:iCs/>
          <w:sz w:val="36"/>
          <w:szCs w:val="36"/>
          <w:lang w:val="en-US" w:bidi="ar-DZ"/>
        </w:rPr>
        <w:t xml:space="preserve"> </w:t>
      </w:r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بعد أن بلغ</w:t>
      </w:r>
      <w:r w:rsidRPr="006972C3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val="en-US" w:bidi="ar-DZ"/>
        </w:rPr>
        <w:t xml:space="preserve"> الروم </w:t>
      </w:r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 xml:space="preserve">قوة </w:t>
      </w:r>
      <w:proofErr w:type="spellStart"/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قوة</w:t>
      </w:r>
      <w:proofErr w:type="spellEnd"/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 xml:space="preserve"> عظيمة بدأوا يحاولون استرج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ا</w:t>
      </w:r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 xml:space="preserve">ع كل الممالك التي خرجت عن روما، وفي صائفة 533م ركب القائد البيزنطي </w:t>
      </w:r>
      <w:r w:rsidRP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val="en-US" w:bidi="ar-DZ"/>
        </w:rPr>
        <w:t>"</w:t>
      </w:r>
      <w:proofErr w:type="spellStart"/>
      <w:r w:rsidRP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val="en-US" w:bidi="ar-DZ"/>
        </w:rPr>
        <w:t>بليزاريوس</w:t>
      </w:r>
      <w:proofErr w:type="spellEnd"/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 xml:space="preserve">" البحر في أسطول يتكون من خمسمائة سفينة ...فاستولى على تونس وقرطاجة وتقدم نحو </w:t>
      </w:r>
      <w:proofErr w:type="spellStart"/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نوميديا</w:t>
      </w:r>
      <w:proofErr w:type="spellEnd"/>
      <w:r w:rsidRPr="000B6847"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..."</w:t>
      </w:r>
      <w:r>
        <w:rPr>
          <w:rFonts w:ascii="Traditional Arabic" w:hAnsi="Traditional Arabic" w:cs="Traditional Arabic" w:hint="cs"/>
          <w:i/>
          <w:iCs/>
          <w:sz w:val="36"/>
          <w:szCs w:val="36"/>
          <w:rtl/>
          <w:lang w:val="en-US" w:bidi="ar-DZ"/>
        </w:rPr>
        <w:t>.</w:t>
      </w:r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  </w:t>
      </w:r>
    </w:p>
    <w:p w:rsidR="00CA766F" w:rsidRPr="001F710A" w:rsidRDefault="00CA766F" w:rsidP="0004288E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 </w:t>
      </w:r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val="en-US" w:bidi="ar-DZ"/>
        </w:rPr>
        <w:t xml:space="preserve">على ضوء ما تقدم؛ </w:t>
      </w: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val="en-US" w:bidi="ar-DZ"/>
        </w:rPr>
        <w:t xml:space="preserve">تحدث عن؛ </w:t>
      </w:r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ا</w:t>
      </w:r>
      <w:r w:rsidR="0004288E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لظروف والأسباب التي أحاطت بمجيء الروم إلى</w:t>
      </w:r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 xml:space="preserve"> المنطقة، وموقفهم من </w:t>
      </w:r>
      <w:proofErr w:type="spellStart"/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الوندال</w:t>
      </w:r>
      <w:proofErr w:type="spellEnd"/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، مبرزا ردود الأفعال المحلية من السياسة البيزنطية المنتهجة</w:t>
      </w: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EF70E2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مع الإشارة </w:t>
      </w:r>
      <w:r w:rsidR="003277B0"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val="en-US" w:bidi="ar-DZ"/>
        </w:rPr>
        <w:t xml:space="preserve">إلى </w:t>
      </w: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>العوامل التي ساهمت في انهيار وزوال السلطة البيزنطية</w:t>
      </w:r>
      <w:r w:rsidRPr="007E5A1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  <w:t>.</w:t>
      </w:r>
      <w:r>
        <w:rPr>
          <w:rFonts w:ascii="Traditional Arabic" w:hAnsi="Traditional Arabic" w:cs="Traditional Arabic" w:hint="cs"/>
          <w:b/>
          <w:bCs/>
          <w:i/>
          <w:iCs/>
          <w:sz w:val="36"/>
          <w:szCs w:val="36"/>
          <w:rtl/>
          <w:lang w:bidi="ar-DZ"/>
        </w:rPr>
        <w:t xml:space="preserve">                                                         </w:t>
      </w:r>
    </w:p>
    <w:p w:rsidR="00CA766F" w:rsidRDefault="00CA766F" w:rsidP="00CA766F">
      <w:pPr>
        <w:bidi/>
        <w:spacing w:line="240" w:lineRule="auto"/>
        <w:jc w:val="right"/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</w:pPr>
      <w:r w:rsidRPr="001F710A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bidi="ar-DZ"/>
        </w:rPr>
        <w:t>بالتوفيق</w:t>
      </w:r>
    </w:p>
    <w:sectPr w:rsidR="00CA766F" w:rsidSect="00CA76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66F"/>
    <w:rsid w:val="0004288E"/>
    <w:rsid w:val="00072BDD"/>
    <w:rsid w:val="00182DB7"/>
    <w:rsid w:val="001C1DE3"/>
    <w:rsid w:val="00234A6D"/>
    <w:rsid w:val="003277B0"/>
    <w:rsid w:val="00522F88"/>
    <w:rsid w:val="006972C3"/>
    <w:rsid w:val="00863E6E"/>
    <w:rsid w:val="008C0A91"/>
    <w:rsid w:val="00C66F2F"/>
    <w:rsid w:val="00CA766F"/>
    <w:rsid w:val="00E1419A"/>
    <w:rsid w:val="00E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08E59-9042-4858-90DC-D8C883B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66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BDD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11</cp:revision>
  <cp:lastPrinted>2025-01-11T08:01:00Z</cp:lastPrinted>
  <dcterms:created xsi:type="dcterms:W3CDTF">2025-01-10T19:55:00Z</dcterms:created>
  <dcterms:modified xsi:type="dcterms:W3CDTF">2025-01-14T18:47:00Z</dcterms:modified>
</cp:coreProperties>
</file>