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5C" w:rsidRDefault="006A0D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1D0D5" wp14:editId="3F5555BE">
                <wp:simplePos x="0" y="0"/>
                <wp:positionH relativeFrom="column">
                  <wp:posOffset>-821319</wp:posOffset>
                </wp:positionH>
                <wp:positionV relativeFrom="paragraph">
                  <wp:posOffset>-767715</wp:posOffset>
                </wp:positionV>
                <wp:extent cx="7406005" cy="108648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00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85C" w:rsidRDefault="006D485C" w:rsidP="006D485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627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Université Larbi Ben M’hidi – Oum El Bouaghi.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Faculté des sciences exactes et des sciences de la nature et de la vie.                                           </w:t>
                            </w:r>
                            <w:r w:rsidRPr="00C627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Département des S.N.V.</w:t>
                            </w:r>
                          </w:p>
                          <w:p w:rsidR="006A0DCF" w:rsidRPr="009D76A5" w:rsidRDefault="006D485C" w:rsidP="006A0DCF">
                            <w:pPr>
                              <w:jc w:val="center"/>
                              <w:rPr>
                                <w:rFonts w:ascii="Bradley Hand ITC" w:hAnsi="Bradley Hand ITC" w:cs="Angsana New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A0D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Corrigé type : </w:t>
                            </w:r>
                            <w:r w:rsidR="006A0DCF" w:rsidRPr="006A0DC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Genetic engineering Applied to microbial Biotechnology</w:t>
                            </w:r>
                          </w:p>
                          <w:p w:rsidR="006D485C" w:rsidRPr="007F4A71" w:rsidRDefault="006D485C" w:rsidP="006A0DCF">
                            <w:pPr>
                              <w:pStyle w:val="Paragraphedeliste"/>
                              <w:spacing w:line="240" w:lineRule="auto"/>
                              <w:ind w:left="4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6D485C" w:rsidRPr="00C627E6" w:rsidRDefault="006D485C" w:rsidP="006D48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4.65pt;margin-top:-60.45pt;width:583.15pt;height:8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" filled="f" stroked="f">
                <v:textbox>
                  <w:txbxContent>
                    <w:p w:rsidR="006D485C" w:rsidRDefault="006D485C" w:rsidP="006D485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627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Université Larbi Ben M’hidi – Oum El Bouaghi.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             Faculté des sciences exactes et des sciences de la nature et de la vie.                                           </w:t>
                      </w:r>
                      <w:r w:rsidRPr="00C627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Département des S.N.V.</w:t>
                      </w:r>
                    </w:p>
                    <w:p w:rsidR="006A0DCF" w:rsidRPr="009D76A5" w:rsidRDefault="006D485C" w:rsidP="006A0DCF">
                      <w:pPr>
                        <w:jc w:val="center"/>
                        <w:rPr>
                          <w:rFonts w:ascii="Bradley Hand ITC" w:hAnsi="Bradley Hand ITC" w:cs="Angsana New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6A0DC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lang w:val="en-GB"/>
                        </w:rPr>
                        <w:t xml:space="preserve">Corrigé type : </w:t>
                      </w:r>
                      <w:r w:rsidR="006A0DCF" w:rsidRPr="006A0DC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  <w:t>Genetic engineering Applied to microbial Biotechnology</w:t>
                      </w:r>
                    </w:p>
                    <w:p w:rsidR="006D485C" w:rsidRPr="007F4A71" w:rsidRDefault="006D485C" w:rsidP="006A0DCF">
                      <w:pPr>
                        <w:pStyle w:val="Paragraphedeliste"/>
                        <w:spacing w:line="240" w:lineRule="auto"/>
                        <w:ind w:left="43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6D485C" w:rsidRPr="00C627E6" w:rsidRDefault="006D485C" w:rsidP="006D485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485C" w:rsidRPr="006D485C" w:rsidRDefault="006D485C" w:rsidP="006D485C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6D485C">
        <w:rPr>
          <w:sz w:val="24"/>
          <w:szCs w:val="24"/>
        </w:rPr>
        <w:t xml:space="preserve"> </w:t>
      </w:r>
      <w:r w:rsidRPr="006D485C">
        <w:rPr>
          <w:sz w:val="24"/>
          <w:szCs w:val="24"/>
        </w:rPr>
        <w:t>Exonucléases : libèrent par hydrolyse le nucléotide situé à l’extrémité 5’ ou 3’ ; Endonucléases: hydrolysent une liaison ester interne.</w:t>
      </w:r>
    </w:p>
    <w:p w:rsidR="006D485C" w:rsidRPr="006D485C" w:rsidRDefault="006D485C" w:rsidP="006D485C">
      <w:pPr>
        <w:pStyle w:val="Paragraphedeliste"/>
        <w:numPr>
          <w:ilvl w:val="0"/>
          <w:numId w:val="3"/>
        </w:numPr>
      </w:pPr>
      <w:r w:rsidRPr="006736B3">
        <w:rPr>
          <w:sz w:val="24"/>
          <w:szCs w:val="24"/>
        </w:rPr>
        <w:t>E</w:t>
      </w:r>
      <w:r w:rsidRPr="006736B3">
        <w:rPr>
          <w:sz w:val="24"/>
          <w:szCs w:val="24"/>
        </w:rPr>
        <w:t>ndonucléases</w:t>
      </w:r>
      <w:r>
        <w:rPr>
          <w:sz w:val="24"/>
          <w:szCs w:val="24"/>
        </w:rPr>
        <w:t xml:space="preserve"> </w:t>
      </w:r>
      <w:r w:rsidRPr="006736B3">
        <w:rPr>
          <w:sz w:val="24"/>
          <w:szCs w:val="24"/>
        </w:rPr>
        <w:t xml:space="preserve"> capables de couper l’ADN double brin à des sites spécifiques de 4 à 6 paires de bases (parfois plus) appelée site de restriction. Les séquences habituellement reconnues sont palindromiques</w:t>
      </w:r>
      <w:r>
        <w:rPr>
          <w:sz w:val="24"/>
          <w:szCs w:val="24"/>
        </w:rPr>
        <w:t>.</w:t>
      </w:r>
    </w:p>
    <w:p w:rsidR="006D485C" w:rsidRPr="006D485C" w:rsidRDefault="006D485C" w:rsidP="006D485C">
      <w:pPr>
        <w:pStyle w:val="Paragraphedeliste"/>
        <w:numPr>
          <w:ilvl w:val="0"/>
          <w:numId w:val="3"/>
        </w:numPr>
      </w:pPr>
      <w:r w:rsidRPr="006D485C">
        <w:rPr>
          <w:sz w:val="24"/>
          <w:szCs w:val="24"/>
        </w:rPr>
        <w:t>La Taq polymérase</w:t>
      </w:r>
      <w:r w:rsidRPr="006D485C">
        <w:rPr>
          <w:sz w:val="24"/>
          <w:szCs w:val="24"/>
        </w:rPr>
        <w:t xml:space="preserve">, </w:t>
      </w:r>
      <w:r w:rsidRPr="006D485C">
        <w:rPr>
          <w:sz w:val="24"/>
          <w:szCs w:val="24"/>
        </w:rPr>
        <w:t>La Pfu et la Pwo DNA polymérase</w:t>
      </w:r>
      <w:r w:rsidRPr="006D485C">
        <w:rPr>
          <w:sz w:val="24"/>
          <w:szCs w:val="24"/>
        </w:rPr>
        <w:t>.</w:t>
      </w:r>
    </w:p>
    <w:p w:rsidR="002D3886" w:rsidRPr="006D485C" w:rsidRDefault="006D485C" w:rsidP="006D485C">
      <w:pPr>
        <w:pStyle w:val="Paragraphedeliste"/>
        <w:numPr>
          <w:ilvl w:val="0"/>
          <w:numId w:val="3"/>
        </w:numPr>
        <w:rPr>
          <w:lang w:val="en-GB"/>
        </w:rPr>
      </w:pPr>
      <w:r w:rsidRPr="006D485C">
        <w:rPr>
          <w:sz w:val="24"/>
          <w:szCs w:val="24"/>
          <w:lang w:val="en-GB"/>
        </w:rPr>
        <w:t>P</w:t>
      </w:r>
      <w:r w:rsidRPr="006D485C">
        <w:rPr>
          <w:sz w:val="24"/>
          <w:szCs w:val="24"/>
          <w:lang w:val="en-GB"/>
        </w:rPr>
        <w:t>lasmides</w:t>
      </w:r>
      <w:r w:rsidRPr="006D485C">
        <w:rPr>
          <w:sz w:val="24"/>
          <w:szCs w:val="24"/>
          <w:lang w:val="en-GB"/>
        </w:rPr>
        <w:t xml:space="preserve">, </w:t>
      </w:r>
      <w:r w:rsidRPr="006D485C">
        <w:rPr>
          <w:sz w:val="24"/>
          <w:szCs w:val="24"/>
          <w:lang w:val="en-GB"/>
        </w:rPr>
        <w:t>Bacteriophages</w:t>
      </w:r>
      <w:r w:rsidRPr="006D485C">
        <w:rPr>
          <w:sz w:val="24"/>
          <w:szCs w:val="24"/>
          <w:lang w:val="en-GB"/>
        </w:rPr>
        <w:t xml:space="preserve">, </w:t>
      </w:r>
      <w:r w:rsidRPr="006D485C">
        <w:rPr>
          <w:sz w:val="24"/>
          <w:szCs w:val="24"/>
          <w:lang w:val="en-GB"/>
        </w:rPr>
        <w:t>cosmides</w:t>
      </w:r>
      <w:r w:rsidRPr="006D485C">
        <w:rPr>
          <w:sz w:val="24"/>
          <w:szCs w:val="24"/>
          <w:lang w:val="en-GB"/>
        </w:rPr>
        <w:t xml:space="preserve">, </w:t>
      </w:r>
      <w:r w:rsidRPr="006D485C">
        <w:rPr>
          <w:sz w:val="24"/>
          <w:szCs w:val="24"/>
          <w:lang w:val="en-GB"/>
        </w:rPr>
        <w:t>Bacterial Artifecial Chromosomes (BACs )</w:t>
      </w:r>
      <w:r w:rsidRPr="006D485C">
        <w:rPr>
          <w:sz w:val="24"/>
          <w:szCs w:val="24"/>
          <w:lang w:val="en-GB"/>
        </w:rPr>
        <w:t xml:space="preserve">, </w:t>
      </w:r>
      <w:r w:rsidRPr="006D485C">
        <w:rPr>
          <w:sz w:val="24"/>
          <w:szCs w:val="24"/>
          <w:lang w:val="en-GB"/>
        </w:rPr>
        <w:t>Yeast Artifecial Chromosomes</w:t>
      </w:r>
      <w:r w:rsidRPr="006D485C">
        <w:rPr>
          <w:sz w:val="24"/>
          <w:szCs w:val="24"/>
          <w:lang w:val="en-GB"/>
        </w:rPr>
        <w:t xml:space="preserve"> </w:t>
      </w:r>
      <w:r w:rsidRPr="006D485C">
        <w:rPr>
          <w:sz w:val="24"/>
          <w:szCs w:val="24"/>
          <w:lang w:val="en-GB"/>
        </w:rPr>
        <w:t>(</w:t>
      </w:r>
      <w:r w:rsidRPr="006D485C">
        <w:rPr>
          <w:sz w:val="24"/>
          <w:szCs w:val="24"/>
          <w:lang w:val="en-GB"/>
        </w:rPr>
        <w:t>Y</w:t>
      </w:r>
      <w:r w:rsidRPr="006D485C">
        <w:rPr>
          <w:sz w:val="24"/>
          <w:szCs w:val="24"/>
          <w:lang w:val="en-GB"/>
        </w:rPr>
        <w:t>ACs )</w:t>
      </w:r>
      <w:r w:rsidRPr="006D485C">
        <w:rPr>
          <w:sz w:val="24"/>
          <w:szCs w:val="24"/>
          <w:lang w:val="en-GB"/>
        </w:rPr>
        <w:t xml:space="preserve">. </w:t>
      </w:r>
      <w:r w:rsidRPr="006D485C">
        <w:rPr>
          <w:sz w:val="24"/>
          <w:szCs w:val="24"/>
          <w:lang w:val="en-GB"/>
        </w:rPr>
        <w:t xml:space="preserve">  </w:t>
      </w:r>
    </w:p>
    <w:p w:rsidR="006D485C" w:rsidRPr="006D485C" w:rsidRDefault="006D485C" w:rsidP="006D485C">
      <w:pPr>
        <w:pStyle w:val="Paragraphedeliste"/>
        <w:numPr>
          <w:ilvl w:val="0"/>
          <w:numId w:val="3"/>
        </w:numPr>
      </w:pPr>
      <w:r w:rsidRPr="006D485C">
        <w:rPr>
          <w:w w:val="95"/>
          <w:sz w:val="24"/>
          <w:szCs w:val="24"/>
        </w:rPr>
        <w:t>plasmide</w:t>
      </w:r>
      <w:r w:rsidRPr="006D485C">
        <w:rPr>
          <w:spacing w:val="-25"/>
          <w:w w:val="95"/>
          <w:sz w:val="24"/>
          <w:szCs w:val="24"/>
        </w:rPr>
        <w:t xml:space="preserve"> </w:t>
      </w:r>
      <w:r w:rsidRPr="006D485C">
        <w:rPr>
          <w:w w:val="95"/>
          <w:sz w:val="24"/>
          <w:szCs w:val="24"/>
        </w:rPr>
        <w:t>pBR322</w:t>
      </w:r>
      <w:r w:rsidRPr="006D485C">
        <w:rPr>
          <w:w w:val="95"/>
          <w:sz w:val="24"/>
          <w:szCs w:val="24"/>
        </w:rPr>
        <w:t xml:space="preserve">, </w:t>
      </w:r>
      <w:r w:rsidRPr="006D485C">
        <w:rPr>
          <w:sz w:val="24"/>
          <w:szCs w:val="24"/>
        </w:rPr>
        <w:t>pUC19</w:t>
      </w:r>
      <w:r w:rsidRPr="006D485C">
        <w:rPr>
          <w:sz w:val="24"/>
          <w:szCs w:val="24"/>
        </w:rPr>
        <w:t xml:space="preserve">, </w:t>
      </w:r>
      <w:r w:rsidRPr="006D485C">
        <w:rPr>
          <w:sz w:val="24"/>
          <w:szCs w:val="24"/>
        </w:rPr>
        <w:t>le phage lamba et le phage M13</w:t>
      </w:r>
      <w:r w:rsidRPr="006D485C">
        <w:rPr>
          <w:sz w:val="24"/>
          <w:szCs w:val="24"/>
        </w:rPr>
        <w:t>……..</w:t>
      </w:r>
    </w:p>
    <w:p w:rsidR="006D485C" w:rsidRPr="006D485C" w:rsidRDefault="006D485C" w:rsidP="006D485C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6D485C">
        <w:rPr>
          <w:b/>
          <w:bCs/>
          <w:sz w:val="24"/>
          <w:szCs w:val="24"/>
        </w:rPr>
        <w:t>Électroporation</w:t>
      </w:r>
      <w:r w:rsidRPr="006D485C">
        <w:rPr>
          <w:b/>
          <w:bCs/>
          <w:sz w:val="24"/>
          <w:szCs w:val="24"/>
        </w:rPr>
        <w:t xml:space="preserve"> : </w:t>
      </w:r>
      <w:r w:rsidRPr="006D485C">
        <w:rPr>
          <w:sz w:val="24"/>
          <w:szCs w:val="24"/>
        </w:rPr>
        <w:t>Cette technique implique l’exposition de l’hôte à des décharges électriques afin d’ouvrir les pores (temporairement) dans la membrane par lesquels, l’ADN cloné, ajouts dans le milieu, peut pénétrer sans lyse des cellules.</w:t>
      </w:r>
    </w:p>
    <w:p w:rsidR="00AE6FED" w:rsidRPr="00AE6FED" w:rsidRDefault="00AE6FED" w:rsidP="006A0DCF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AE6FED">
        <w:rPr>
          <w:sz w:val="24"/>
          <w:szCs w:val="24"/>
        </w:rPr>
        <w:t xml:space="preserve">Les vecteurs utilisés portent des marqueurs de transformation, il s'agit souvent de gènes de résistance aux antibiotiques. Ainsi, si des bactéries transformées avec ce plasmide arrivent à cultiver sur un milieu contenant  l'antibiotique, seules les bactéries ayant le gène de résistance à l'antibiotique vont pouvoir pousser sur le milieu. Pour analyser les bactéries avec un plasmide recombiné, on utilise une résistance à un second antibiotique . L’insertion du fragment d’ADN dans le plasmide doit inactiver le gène de résistance au deuxième antibiotique. </w:t>
      </w:r>
    </w:p>
    <w:p w:rsidR="006D485C" w:rsidRDefault="00AE6FED" w:rsidP="00AE6FED">
      <w:pPr>
        <w:numPr>
          <w:ilvl w:val="0"/>
          <w:numId w:val="3"/>
        </w:numPr>
        <w:jc w:val="both"/>
        <w:rPr>
          <w:sz w:val="24"/>
          <w:szCs w:val="24"/>
        </w:rPr>
      </w:pPr>
      <w:r w:rsidRPr="00583CC2">
        <w:rPr>
          <w:sz w:val="24"/>
          <w:szCs w:val="24"/>
        </w:rPr>
        <w:t>S</w:t>
      </w:r>
      <w:r w:rsidRPr="00583CC2">
        <w:rPr>
          <w:sz w:val="24"/>
          <w:szCs w:val="24"/>
        </w:rPr>
        <w:t xml:space="preserve">onde nucléotidique </w:t>
      </w:r>
      <w:r>
        <w:rPr>
          <w:sz w:val="24"/>
          <w:szCs w:val="24"/>
        </w:rPr>
        <w:t xml:space="preserve">monocaténaire </w:t>
      </w:r>
      <w:r w:rsidRPr="00583CC2">
        <w:rPr>
          <w:sz w:val="24"/>
          <w:szCs w:val="24"/>
        </w:rPr>
        <w:t xml:space="preserve">radioactive complémentaire de la  séquence de l’ADN recherché </w:t>
      </w:r>
      <w:r>
        <w:rPr>
          <w:sz w:val="24"/>
          <w:szCs w:val="24"/>
        </w:rPr>
        <w:t>(</w:t>
      </w:r>
      <w:r w:rsidRPr="00583CC2">
        <w:rPr>
          <w:sz w:val="24"/>
          <w:szCs w:val="24"/>
        </w:rPr>
        <w:t>gène d’intérêt</w:t>
      </w:r>
      <w:r w:rsidRPr="00AE6FED">
        <w:rPr>
          <w:sz w:val="24"/>
          <w:szCs w:val="24"/>
        </w:rPr>
        <w:t>)</w:t>
      </w:r>
      <w:r w:rsidRPr="00583CC2">
        <w:rPr>
          <w:sz w:val="24"/>
          <w:szCs w:val="24"/>
        </w:rPr>
        <w:t>.</w:t>
      </w:r>
    </w:p>
    <w:p w:rsidR="006A0DCF" w:rsidRPr="006A0DCF" w:rsidRDefault="006A0DCF" w:rsidP="006A0DCF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6A0DCF">
        <w:rPr>
          <w:sz w:val="24"/>
          <w:szCs w:val="24"/>
        </w:rPr>
        <w:t>La terminaison commence dès que l'enzyme rencontre un signal de terminaison d'une séquence de 40 pb riches en GC suivie par autres riche en A (donc U sur l’ARN). Cette dernière est transcrite en ARN et forme une structure en tige boucle (épingle à cheveux) par appariement de bases du même brin, suivies d'une série d'uridines.  Cette structure provoque un ralentissement, puis un arrêt et un décrochage de l’ARN polymérase</w:t>
      </w:r>
      <w:r>
        <w:rPr>
          <w:sz w:val="24"/>
          <w:szCs w:val="24"/>
        </w:rPr>
        <w:t>.</w:t>
      </w:r>
      <w:r w:rsidRPr="006A0DCF">
        <w:rPr>
          <w:sz w:val="24"/>
          <w:szCs w:val="24"/>
        </w:rPr>
        <w:t xml:space="preserve"> D'autres types de terminateurs nécessitent des facteurs protéiques spécifiques. Chez </w:t>
      </w:r>
      <w:r w:rsidRPr="006A0DCF">
        <w:rPr>
          <w:i/>
          <w:iCs/>
          <w:sz w:val="24"/>
          <w:szCs w:val="24"/>
        </w:rPr>
        <w:t>E.</w:t>
      </w:r>
      <w:r w:rsidRPr="006A0DCF">
        <w:rPr>
          <w:sz w:val="24"/>
          <w:szCs w:val="24"/>
        </w:rPr>
        <w:t xml:space="preserve"> </w:t>
      </w:r>
      <w:r w:rsidRPr="006A0DCF">
        <w:rPr>
          <w:i/>
          <w:iCs/>
          <w:sz w:val="24"/>
          <w:szCs w:val="24"/>
        </w:rPr>
        <w:t xml:space="preserve">coli </w:t>
      </w:r>
      <w:r w:rsidRPr="006A0DCF">
        <w:rPr>
          <w:sz w:val="24"/>
          <w:szCs w:val="24"/>
        </w:rPr>
        <w:t xml:space="preserve">la protéine </w:t>
      </w:r>
      <w:r w:rsidRPr="006A0DCF">
        <w:rPr>
          <w:i/>
          <w:iCs/>
          <w:sz w:val="24"/>
          <w:szCs w:val="24"/>
        </w:rPr>
        <w:t xml:space="preserve">Rho  </w:t>
      </w:r>
      <w:r w:rsidRPr="006A0DCF">
        <w:rPr>
          <w:sz w:val="24"/>
          <w:szCs w:val="24"/>
        </w:rPr>
        <w:t>(une hélicase ARN-ADN / ATP-dépendante sous forme d'homohexamère)</w:t>
      </w:r>
    </w:p>
    <w:p w:rsidR="006A0DCF" w:rsidRPr="006A0DCF" w:rsidRDefault="006A0DCF" w:rsidP="006A0DCF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6A0DCF">
        <w:rPr>
          <w:sz w:val="24"/>
          <w:szCs w:val="24"/>
        </w:rPr>
        <w:t xml:space="preserve">Un promoteur utilisable pour les productions à grande échelle doit posséder les qualités suivantes: </w:t>
      </w:r>
    </w:p>
    <w:p w:rsidR="006A0DCF" w:rsidRDefault="006A0DCF" w:rsidP="006A0DCF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B00BC7">
        <w:rPr>
          <w:sz w:val="24"/>
          <w:szCs w:val="24"/>
        </w:rPr>
        <w:t xml:space="preserve">Avoir un niveau de transcription maximal. </w:t>
      </w:r>
    </w:p>
    <w:p w:rsidR="006A0DCF" w:rsidRDefault="006A0DCF" w:rsidP="006A0DCF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B00BC7">
        <w:rPr>
          <w:sz w:val="24"/>
          <w:szCs w:val="24"/>
        </w:rPr>
        <w:t xml:space="preserve">Etre fortement régulé: la synthèse de l'ARNm doit être totalement inhibée en dehors des périodes d'induction. </w:t>
      </w:r>
    </w:p>
    <w:p w:rsidR="006A0DCF" w:rsidRPr="00B00BC7" w:rsidRDefault="006A0DCF" w:rsidP="006A0DCF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B00BC7">
        <w:rPr>
          <w:sz w:val="24"/>
          <w:szCs w:val="24"/>
        </w:rPr>
        <w:t xml:space="preserve">L'induction ne doit pas avoir d'effet sur la physiologie de la cellule. </w:t>
      </w:r>
    </w:p>
    <w:p w:rsidR="006D485C" w:rsidRDefault="006D485C" w:rsidP="006A0DCF">
      <w:pPr>
        <w:ind w:left="360"/>
      </w:pPr>
    </w:p>
    <w:p w:rsidR="006D485C" w:rsidRPr="006A0DCF" w:rsidRDefault="006A0DCF">
      <w:pPr>
        <w:rPr>
          <w:lang w:val="en-GB"/>
        </w:rPr>
      </w:pPr>
      <w:r>
        <w:rPr>
          <w:rFonts w:ascii="Monotype Corsiva" w:hAnsi="Monotype Corsiva" w:cs="Times New Roman"/>
          <w:b/>
          <w:bCs/>
          <w:sz w:val="32"/>
          <w:szCs w:val="32"/>
          <w:lang w:val="en-GB"/>
        </w:rPr>
        <w:t xml:space="preserve">                                                                                         </w:t>
      </w:r>
      <w:bookmarkStart w:id="0" w:name="_GoBack"/>
      <w:bookmarkEnd w:id="0"/>
      <w:r w:rsidRPr="006A0DCF">
        <w:rPr>
          <w:rFonts w:ascii="Monotype Corsiva" w:hAnsi="Monotype Corsiva" w:cs="Times New Roman"/>
          <w:b/>
          <w:bCs/>
          <w:sz w:val="32"/>
          <w:szCs w:val="32"/>
          <w:lang w:val="en-GB"/>
        </w:rPr>
        <w:t>Dr Khennouchi N.C.H.</w:t>
      </w:r>
    </w:p>
    <w:sectPr w:rsidR="006D485C" w:rsidRPr="006A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46"/>
    <w:multiLevelType w:val="hybridMultilevel"/>
    <w:tmpl w:val="D0ECAE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7F9E"/>
    <w:multiLevelType w:val="hybridMultilevel"/>
    <w:tmpl w:val="6CF8D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37E2"/>
    <w:multiLevelType w:val="hybridMultilevel"/>
    <w:tmpl w:val="55DE9B7C"/>
    <w:lvl w:ilvl="0" w:tplc="D2C8BD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33D89"/>
    <w:multiLevelType w:val="hybridMultilevel"/>
    <w:tmpl w:val="D08417C8"/>
    <w:lvl w:ilvl="0" w:tplc="BB22AB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0E98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A17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4FC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3E8D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4F0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8F4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806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6B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6629F"/>
    <w:multiLevelType w:val="hybridMultilevel"/>
    <w:tmpl w:val="7BE225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5C"/>
    <w:rsid w:val="002D3886"/>
    <w:rsid w:val="006A0DCF"/>
    <w:rsid w:val="006D485C"/>
    <w:rsid w:val="00885D8A"/>
    <w:rsid w:val="00A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5C"/>
  </w:style>
  <w:style w:type="paragraph" w:styleId="Titre1">
    <w:name w:val="heading 1"/>
    <w:basedOn w:val="Normal"/>
    <w:next w:val="Normal"/>
    <w:link w:val="Titre1Car"/>
    <w:uiPriority w:val="9"/>
    <w:qFormat/>
    <w:rsid w:val="00885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5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5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5D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5D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5D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5D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5D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5D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5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8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85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85D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85D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85D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5D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85D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85D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5D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85D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D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5D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85D8A"/>
    <w:rPr>
      <w:b/>
      <w:bCs/>
    </w:rPr>
  </w:style>
  <w:style w:type="character" w:styleId="Accentuation">
    <w:name w:val="Emphasis"/>
    <w:basedOn w:val="Policepardfaut"/>
    <w:uiPriority w:val="20"/>
    <w:qFormat/>
    <w:rsid w:val="00885D8A"/>
    <w:rPr>
      <w:i/>
      <w:iCs/>
    </w:rPr>
  </w:style>
  <w:style w:type="paragraph" w:styleId="Sansinterligne">
    <w:name w:val="No Spacing"/>
    <w:uiPriority w:val="1"/>
    <w:qFormat/>
    <w:rsid w:val="00885D8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85D8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5D8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85D8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D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5D8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885D8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85D8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85D8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85D8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85D8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5D8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5C"/>
  </w:style>
  <w:style w:type="paragraph" w:styleId="Titre1">
    <w:name w:val="heading 1"/>
    <w:basedOn w:val="Normal"/>
    <w:next w:val="Normal"/>
    <w:link w:val="Titre1Car"/>
    <w:uiPriority w:val="9"/>
    <w:qFormat/>
    <w:rsid w:val="00885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5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5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5D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5D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5D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5D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5D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5D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5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8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85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85D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85D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85D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5D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85D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85D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5D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85D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D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5D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85D8A"/>
    <w:rPr>
      <w:b/>
      <w:bCs/>
    </w:rPr>
  </w:style>
  <w:style w:type="character" w:styleId="Accentuation">
    <w:name w:val="Emphasis"/>
    <w:basedOn w:val="Policepardfaut"/>
    <w:uiPriority w:val="20"/>
    <w:qFormat/>
    <w:rsid w:val="00885D8A"/>
    <w:rPr>
      <w:i/>
      <w:iCs/>
    </w:rPr>
  </w:style>
  <w:style w:type="paragraph" w:styleId="Sansinterligne">
    <w:name w:val="No Spacing"/>
    <w:uiPriority w:val="1"/>
    <w:qFormat/>
    <w:rsid w:val="00885D8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85D8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5D8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85D8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D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5D8A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885D8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85D8A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85D8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85D8A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85D8A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5D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add</cp:lastModifiedBy>
  <cp:revision>1</cp:revision>
  <dcterms:created xsi:type="dcterms:W3CDTF">2024-05-21T11:37:00Z</dcterms:created>
  <dcterms:modified xsi:type="dcterms:W3CDTF">2024-05-21T12:48:00Z</dcterms:modified>
</cp:coreProperties>
</file>