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B1" w:rsidRDefault="00BC6BB1" w:rsidP="00BC6BB1">
      <w:pPr>
        <w:spacing w:after="0"/>
        <w:jc w:val="center"/>
        <w:rPr>
          <w:rFonts w:asciiTheme="majorBidi" w:eastAsia="Times New Roman" w:hAnsiTheme="majorBidi" w:cstheme="majorBidi"/>
          <w:sz w:val="24"/>
          <w:szCs w:val="24"/>
          <w:lang w:eastAsia="fr-FR"/>
        </w:rPr>
      </w:pPr>
      <w:r w:rsidRPr="00E2743E">
        <w:rPr>
          <w:rFonts w:ascii="Times New Roman" w:eastAsia="Times New Roman" w:hAnsi="Times New Roman" w:cs="Times New Roman"/>
          <w:b/>
          <w:bCs/>
          <w:sz w:val="24"/>
          <w:szCs w:val="24"/>
          <w:u w:val="single"/>
          <w:lang w:eastAsia="fr-FR"/>
        </w:rPr>
        <w:t xml:space="preserve">Contrôle </w:t>
      </w:r>
      <w:r>
        <w:rPr>
          <w:rFonts w:ascii="Times New Roman" w:eastAsia="Times New Roman" w:hAnsi="Times New Roman" w:cs="Times New Roman"/>
          <w:b/>
          <w:bCs/>
          <w:sz w:val="24"/>
          <w:szCs w:val="24"/>
          <w:u w:val="single"/>
          <w:lang w:eastAsia="fr-FR"/>
        </w:rPr>
        <w:t>de</w:t>
      </w:r>
      <w:r w:rsidRPr="00195A19">
        <w:rPr>
          <w:rFonts w:ascii="Times New Roman" w:eastAsia="Times New Roman" w:hAnsi="Times New Roman" w:cs="Times New Roman"/>
          <w:b/>
          <w:bCs/>
          <w:sz w:val="24"/>
          <w:szCs w:val="24"/>
          <w:u w:val="single"/>
          <w:lang w:eastAsia="fr-FR"/>
        </w:rPr>
        <w:t xml:space="preserve"> biologie moléculaire</w:t>
      </w:r>
      <w:r>
        <w:rPr>
          <w:rFonts w:ascii="Times New Roman" w:eastAsia="Times New Roman" w:hAnsi="Times New Roman" w:cs="Times New Roman"/>
          <w:b/>
          <w:bCs/>
          <w:sz w:val="24"/>
          <w:szCs w:val="24"/>
          <w:u w:val="single"/>
          <w:lang w:eastAsia="fr-FR"/>
        </w:rPr>
        <w:t>:</w:t>
      </w:r>
    </w:p>
    <w:p w:rsidR="00BC6BB1" w:rsidRPr="00C2744A" w:rsidRDefault="00BC6BB1" w:rsidP="00BC6BB1">
      <w:pPr>
        <w:rPr>
          <w:rFonts w:asciiTheme="majorBidi" w:eastAsia="Times New Roman" w:hAnsiTheme="majorBidi" w:cstheme="majorBidi"/>
          <w:b/>
          <w:bCs/>
          <w:sz w:val="24"/>
          <w:szCs w:val="24"/>
          <w:lang w:eastAsia="fr-FR"/>
        </w:rPr>
      </w:pPr>
      <w:r w:rsidRPr="00C2744A">
        <w:rPr>
          <w:rFonts w:asciiTheme="majorBidi" w:eastAsia="Times New Roman" w:hAnsiTheme="majorBidi" w:cstheme="majorBidi"/>
          <w:b/>
          <w:bCs/>
          <w:sz w:val="24"/>
          <w:szCs w:val="24"/>
          <w:lang w:eastAsia="fr-FR"/>
        </w:rPr>
        <w:t>Nom :………………………………Prénom :…………………………………G :</w:t>
      </w:r>
    </w:p>
    <w:p w:rsidR="00023EAC" w:rsidRDefault="00BC6BB1" w:rsidP="00BC6BB1">
      <w:pPr>
        <w:pStyle w:val="En-tte"/>
        <w:tabs>
          <w:tab w:val="clear" w:pos="4536"/>
          <w:tab w:val="clear" w:pos="9072"/>
          <w:tab w:val="left" w:pos="4044"/>
        </w:tabs>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u w:val="single"/>
          <w:lang w:eastAsia="fr-FR"/>
        </w:rPr>
        <w:t>Exercice 1</w:t>
      </w:r>
      <w:r>
        <w:rPr>
          <w:rFonts w:asciiTheme="majorBidi" w:eastAsia="Times New Roman" w:hAnsiTheme="majorBidi" w:cstheme="majorBidi"/>
          <w:b/>
          <w:bCs/>
          <w:sz w:val="24"/>
          <w:szCs w:val="24"/>
          <w:lang w:eastAsia="fr-FR"/>
        </w:rPr>
        <w:t> :</w:t>
      </w:r>
    </w:p>
    <w:p w:rsidR="00BC6BB1" w:rsidRDefault="00BC6BB1" w:rsidP="00BC6BB1">
      <w:pPr>
        <w:pStyle w:val="Paragraphedeliste"/>
        <w:numPr>
          <w:ilvl w:val="0"/>
          <w:numId w:val="1"/>
        </w:numPr>
        <w:autoSpaceDE w:val="0"/>
        <w:autoSpaceDN w:val="0"/>
        <w:adjustRightInd w:val="0"/>
        <w:spacing w:after="0" w:line="240" w:lineRule="auto"/>
        <w:rPr>
          <w:rFonts w:asciiTheme="majorBidi" w:hAnsiTheme="majorBidi" w:cstheme="majorBidi"/>
          <w:color w:val="000000" w:themeColor="text1"/>
          <w:sz w:val="24"/>
          <w:szCs w:val="24"/>
        </w:rPr>
      </w:pPr>
      <w:r w:rsidRPr="00C2744A">
        <w:rPr>
          <w:rFonts w:asciiTheme="majorBidi" w:hAnsiTheme="majorBidi" w:cstheme="majorBidi"/>
          <w:color w:val="000000" w:themeColor="text1"/>
          <w:sz w:val="24"/>
          <w:szCs w:val="24"/>
        </w:rPr>
        <w:t xml:space="preserve">La régulation de la transcription des gènes est assurée en partie par l’intervention de facteurs protéiques agissant en « </w:t>
      </w:r>
      <w:r w:rsidRPr="00C2744A">
        <w:rPr>
          <w:rFonts w:asciiTheme="majorBidi" w:hAnsiTheme="majorBidi" w:cstheme="majorBidi"/>
          <w:i/>
          <w:iCs/>
          <w:color w:val="000000" w:themeColor="text1"/>
          <w:sz w:val="24"/>
          <w:szCs w:val="24"/>
        </w:rPr>
        <w:t xml:space="preserve">trans </w:t>
      </w:r>
      <w:r w:rsidRPr="00C2744A">
        <w:rPr>
          <w:rFonts w:asciiTheme="majorBidi" w:hAnsiTheme="majorBidi" w:cstheme="majorBidi"/>
          <w:color w:val="000000" w:themeColor="text1"/>
          <w:sz w:val="24"/>
          <w:szCs w:val="24"/>
        </w:rPr>
        <w:t>» expliquer</w:t>
      </w:r>
      <w:r>
        <w:rPr>
          <w:rFonts w:asciiTheme="majorBidi" w:hAnsiTheme="majorBidi" w:cstheme="majorBidi"/>
          <w:color w:val="000000" w:themeColor="text1"/>
          <w:sz w:val="24"/>
          <w:szCs w:val="24"/>
        </w:rPr>
        <w:t xml:space="preserve"> et donner un exemple</w:t>
      </w:r>
      <w:r w:rsidRPr="00C2744A">
        <w:rPr>
          <w:rFonts w:asciiTheme="majorBidi" w:hAnsiTheme="majorBidi" w:cstheme="majorBidi"/>
          <w:color w:val="000000" w:themeColor="text1"/>
          <w:sz w:val="24"/>
          <w:szCs w:val="24"/>
        </w:rPr>
        <w:t> ?</w:t>
      </w:r>
      <w:r w:rsidR="00366B58" w:rsidRPr="00366B58">
        <w:rPr>
          <w:rFonts w:asciiTheme="majorBidi" w:hAnsiTheme="majorBidi" w:cstheme="majorBidi"/>
          <w:color w:val="FF0000"/>
          <w:sz w:val="24"/>
          <w:szCs w:val="24"/>
        </w:rPr>
        <w:t>1pt</w:t>
      </w:r>
    </w:p>
    <w:p w:rsidR="00BC6BB1" w:rsidRDefault="00BC6BB1" w:rsidP="00BC6BB1">
      <w:pPr>
        <w:pStyle w:val="Paragraphedeliste"/>
        <w:numPr>
          <w:ilvl w:val="0"/>
          <w:numId w:val="1"/>
        </w:numPr>
        <w:autoSpaceDE w:val="0"/>
        <w:autoSpaceDN w:val="0"/>
        <w:adjustRightInd w:val="0"/>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Qu’elle est la différence entre le ribosome des eucaryotes et celui des procaryotes ?</w:t>
      </w:r>
    </w:p>
    <w:p w:rsidR="00BC6BB1" w:rsidRPr="00FB4C04" w:rsidRDefault="00BC6BB1" w:rsidP="00366B58">
      <w:pPr>
        <w:pStyle w:val="Paragraphedeliste"/>
        <w:numPr>
          <w:ilvl w:val="0"/>
          <w:numId w:val="1"/>
        </w:numPr>
        <w:spacing w:line="360" w:lineRule="auto"/>
        <w:rPr>
          <w:rFonts w:asciiTheme="majorBidi" w:hAnsiTheme="majorBidi" w:cstheme="majorBidi"/>
          <w:sz w:val="24"/>
          <w:szCs w:val="24"/>
        </w:rPr>
      </w:pPr>
      <w:r w:rsidRPr="00FB4C04">
        <w:rPr>
          <w:rFonts w:asciiTheme="majorBidi" w:hAnsiTheme="majorBidi" w:cstheme="majorBidi"/>
          <w:sz w:val="24"/>
          <w:szCs w:val="24"/>
        </w:rPr>
        <w:t xml:space="preserve">Les différents niveaux de régulation de l’expression des gènes font intervenir des interactions entre différents types de molécules, </w:t>
      </w:r>
      <w:r>
        <w:rPr>
          <w:rFonts w:asciiTheme="majorBidi" w:hAnsiTheme="majorBidi" w:cstheme="majorBidi"/>
          <w:sz w:val="24"/>
          <w:szCs w:val="24"/>
        </w:rPr>
        <w:t>citer trois interactions avec des exemples, qui</w:t>
      </w:r>
      <w:r w:rsidRPr="00FB4C04">
        <w:rPr>
          <w:rFonts w:asciiTheme="majorBidi" w:hAnsiTheme="majorBidi" w:cstheme="majorBidi"/>
          <w:sz w:val="24"/>
          <w:szCs w:val="24"/>
        </w:rPr>
        <w:t xml:space="preserve"> sont directement</w:t>
      </w:r>
      <w:r>
        <w:rPr>
          <w:rFonts w:asciiTheme="majorBidi" w:hAnsiTheme="majorBidi" w:cstheme="majorBidi"/>
          <w:sz w:val="24"/>
          <w:szCs w:val="24"/>
        </w:rPr>
        <w:t xml:space="preserve"> impliquées dans ces mécanismes</w:t>
      </w:r>
      <w:r w:rsidRPr="00FB4C04">
        <w:rPr>
          <w:rFonts w:asciiTheme="majorBidi" w:hAnsiTheme="majorBidi" w:cstheme="majorBidi"/>
          <w:sz w:val="24"/>
          <w:szCs w:val="24"/>
        </w:rPr>
        <w:t>?</w:t>
      </w:r>
      <w:r w:rsidR="00366B58" w:rsidRPr="00366B58">
        <w:rPr>
          <w:rFonts w:asciiTheme="majorBidi" w:hAnsiTheme="majorBidi" w:cstheme="majorBidi"/>
          <w:sz w:val="24"/>
          <w:szCs w:val="24"/>
        </w:rPr>
        <w:t xml:space="preserve"> </w:t>
      </w:r>
      <w:r w:rsidR="00366B58" w:rsidRPr="00366B58">
        <w:rPr>
          <w:rFonts w:asciiTheme="majorBidi" w:hAnsiTheme="majorBidi" w:cstheme="majorBidi"/>
          <w:color w:val="FF0000"/>
          <w:sz w:val="24"/>
          <w:szCs w:val="24"/>
        </w:rPr>
        <w:t>1.5pts</w:t>
      </w:r>
    </w:p>
    <w:p w:rsidR="00BC6BB1" w:rsidRPr="00C2744A" w:rsidRDefault="00BC6BB1" w:rsidP="00BC6BB1">
      <w:pPr>
        <w:pStyle w:val="Paragraphedeliste"/>
        <w:numPr>
          <w:ilvl w:val="0"/>
          <w:numId w:val="1"/>
        </w:numPr>
        <w:rPr>
          <w:rFonts w:asciiTheme="majorBidi" w:hAnsiTheme="majorBidi" w:cstheme="majorBidi"/>
          <w:sz w:val="24"/>
          <w:szCs w:val="24"/>
        </w:rPr>
      </w:pPr>
      <w:r w:rsidRPr="00FB4C04">
        <w:rPr>
          <w:rFonts w:asciiTheme="majorBidi" w:hAnsiTheme="majorBidi" w:cstheme="majorBidi"/>
          <w:sz w:val="24"/>
          <w:szCs w:val="24"/>
        </w:rPr>
        <w:t>Définissez les concepts suivants :</w:t>
      </w:r>
      <w:r>
        <w:rPr>
          <w:rFonts w:asciiTheme="majorBidi" w:hAnsiTheme="majorBidi" w:cstheme="majorBidi"/>
          <w:sz w:val="24"/>
          <w:szCs w:val="24"/>
        </w:rPr>
        <w:t xml:space="preserve"> splicéosome</w:t>
      </w:r>
      <w:r w:rsidR="00366B58">
        <w:rPr>
          <w:rFonts w:asciiTheme="majorBidi" w:hAnsiTheme="majorBidi" w:cstheme="majorBidi"/>
          <w:sz w:val="24"/>
          <w:szCs w:val="24"/>
        </w:rPr>
        <w:t xml:space="preserve"> </w:t>
      </w:r>
      <w:r w:rsidR="00366B58" w:rsidRPr="00366B58">
        <w:rPr>
          <w:rFonts w:asciiTheme="majorBidi" w:hAnsiTheme="majorBidi" w:cstheme="majorBidi"/>
          <w:color w:val="FF0000"/>
          <w:sz w:val="24"/>
          <w:szCs w:val="24"/>
        </w:rPr>
        <w:t>0.5</w:t>
      </w:r>
      <w:r>
        <w:rPr>
          <w:rFonts w:asciiTheme="majorBidi" w:hAnsiTheme="majorBidi" w:cstheme="majorBidi"/>
          <w:sz w:val="24"/>
          <w:szCs w:val="24"/>
        </w:rPr>
        <w:t>, eIF4G</w:t>
      </w:r>
      <w:r w:rsidR="00366B58">
        <w:rPr>
          <w:rFonts w:asciiTheme="majorBidi" w:hAnsiTheme="majorBidi" w:cstheme="majorBidi"/>
          <w:sz w:val="24"/>
          <w:szCs w:val="24"/>
        </w:rPr>
        <w:t xml:space="preserve"> </w:t>
      </w:r>
      <w:r w:rsidR="00366B58" w:rsidRPr="00366B58">
        <w:rPr>
          <w:rFonts w:asciiTheme="majorBidi" w:hAnsiTheme="majorBidi" w:cstheme="majorBidi"/>
          <w:color w:val="FF0000"/>
          <w:sz w:val="24"/>
          <w:szCs w:val="24"/>
        </w:rPr>
        <w:t>0.25</w:t>
      </w:r>
      <w:r>
        <w:rPr>
          <w:rFonts w:asciiTheme="majorBidi" w:hAnsiTheme="majorBidi" w:cstheme="majorBidi"/>
          <w:sz w:val="24"/>
          <w:szCs w:val="24"/>
        </w:rPr>
        <w:t>, promoteur</w:t>
      </w:r>
      <w:r w:rsidR="00366B58" w:rsidRPr="00366B58">
        <w:rPr>
          <w:rFonts w:asciiTheme="majorBidi" w:hAnsiTheme="majorBidi" w:cstheme="majorBidi"/>
          <w:color w:val="FF0000"/>
          <w:sz w:val="24"/>
          <w:szCs w:val="24"/>
        </w:rPr>
        <w:t>0.25</w:t>
      </w:r>
      <w:r>
        <w:rPr>
          <w:rFonts w:asciiTheme="majorBidi" w:hAnsiTheme="majorBidi" w:cstheme="majorBidi"/>
          <w:sz w:val="24"/>
          <w:szCs w:val="24"/>
        </w:rPr>
        <w:t>, operateur</w:t>
      </w:r>
      <w:r w:rsidR="00366B58" w:rsidRPr="00366B58">
        <w:rPr>
          <w:rFonts w:asciiTheme="majorBidi" w:hAnsiTheme="majorBidi" w:cstheme="majorBidi"/>
          <w:color w:val="FF0000"/>
          <w:sz w:val="24"/>
          <w:szCs w:val="24"/>
        </w:rPr>
        <w:t>0.25</w:t>
      </w:r>
      <w:r>
        <w:rPr>
          <w:rFonts w:asciiTheme="majorBidi" w:hAnsiTheme="majorBidi" w:cstheme="majorBidi"/>
          <w:sz w:val="24"/>
          <w:szCs w:val="24"/>
        </w:rPr>
        <w:t>, répresseur</w:t>
      </w:r>
      <w:r w:rsidR="00366B58" w:rsidRPr="00366B58">
        <w:rPr>
          <w:rFonts w:asciiTheme="majorBidi" w:hAnsiTheme="majorBidi" w:cstheme="majorBidi"/>
          <w:color w:val="FF0000"/>
          <w:sz w:val="24"/>
          <w:szCs w:val="24"/>
        </w:rPr>
        <w:t>0.25</w:t>
      </w:r>
      <w:r w:rsidR="00366B58">
        <w:rPr>
          <w:rFonts w:asciiTheme="majorBidi" w:hAnsiTheme="majorBidi" w:cstheme="majorBidi"/>
          <w:color w:val="FF0000"/>
          <w:sz w:val="24"/>
          <w:szCs w:val="24"/>
        </w:rPr>
        <w:t>pts</w:t>
      </w:r>
      <w:r>
        <w:rPr>
          <w:rFonts w:asciiTheme="majorBidi" w:hAnsiTheme="majorBidi" w:cstheme="majorBidi"/>
          <w:sz w:val="24"/>
          <w:szCs w:val="24"/>
        </w:rPr>
        <w:t xml:space="preserve">, </w:t>
      </w:r>
    </w:p>
    <w:p w:rsidR="009B5064" w:rsidRPr="009B5064" w:rsidRDefault="009B5064" w:rsidP="009B5064">
      <w:pPr>
        <w:pStyle w:val="Paragraphedeliste"/>
        <w:numPr>
          <w:ilvl w:val="0"/>
          <w:numId w:val="1"/>
        </w:numPr>
        <w:rPr>
          <w:rFonts w:asciiTheme="majorBidi" w:hAnsiTheme="majorBidi" w:cstheme="majorBidi"/>
          <w:sz w:val="24"/>
          <w:szCs w:val="24"/>
        </w:rPr>
      </w:pPr>
      <w:r w:rsidRPr="009B5064">
        <w:rPr>
          <w:rFonts w:asciiTheme="majorBidi" w:hAnsiTheme="majorBidi" w:cstheme="majorBidi"/>
          <w:sz w:val="24"/>
          <w:szCs w:val="24"/>
        </w:rPr>
        <w:t>Chez les eucaryotes, certains ARN, et en particulier les ARN messagers, subissent une modification de leur extrémité 5', expliquer le rôle de cette modification ?</w:t>
      </w:r>
      <w:r w:rsidR="00366B58">
        <w:rPr>
          <w:rFonts w:asciiTheme="majorBidi" w:hAnsiTheme="majorBidi" w:cstheme="majorBidi"/>
          <w:sz w:val="24"/>
          <w:szCs w:val="24"/>
        </w:rPr>
        <w:t xml:space="preserve"> </w:t>
      </w:r>
      <w:r w:rsidR="00366B58" w:rsidRPr="00366B58">
        <w:rPr>
          <w:rFonts w:asciiTheme="majorBidi" w:hAnsiTheme="majorBidi" w:cstheme="majorBidi"/>
          <w:color w:val="FF0000"/>
          <w:sz w:val="24"/>
          <w:szCs w:val="24"/>
        </w:rPr>
        <w:t>0.75pts</w:t>
      </w:r>
    </w:p>
    <w:p w:rsidR="00DF7985" w:rsidRPr="00B513B2" w:rsidRDefault="00DF7985" w:rsidP="00DF7985">
      <w:pPr>
        <w:pStyle w:val="Default"/>
        <w:numPr>
          <w:ilvl w:val="0"/>
          <w:numId w:val="1"/>
        </w:numPr>
      </w:pPr>
      <w:r w:rsidRPr="00DF7985">
        <w:rPr>
          <w:sz w:val="23"/>
          <w:szCs w:val="23"/>
        </w:rPr>
        <w:t>La production des enzymes nécessaires au métabolisme du lactose est donc dépendante de la présence du substrat. Expliquer le cas de présence du lactose ?</w:t>
      </w:r>
      <w:r w:rsidR="00366B58" w:rsidRPr="00366B58">
        <w:rPr>
          <w:color w:val="FF0000"/>
          <w:sz w:val="23"/>
          <w:szCs w:val="23"/>
        </w:rPr>
        <w:t>2 pts</w:t>
      </w:r>
      <w:r w:rsidRPr="00DF7985">
        <w:rPr>
          <w:sz w:val="23"/>
          <w:szCs w:val="23"/>
        </w:rPr>
        <w:t xml:space="preserve"> </w:t>
      </w:r>
    </w:p>
    <w:p w:rsidR="00B513B2" w:rsidRPr="00957562" w:rsidRDefault="00B513B2" w:rsidP="00B513B2">
      <w:pPr>
        <w:pStyle w:val="Paragraphedeliste"/>
        <w:numPr>
          <w:ilvl w:val="0"/>
          <w:numId w:val="3"/>
        </w:numPr>
        <w:rPr>
          <w:rFonts w:asciiTheme="majorBidi" w:hAnsiTheme="majorBidi" w:cstheme="majorBidi"/>
          <w:sz w:val="24"/>
          <w:szCs w:val="24"/>
        </w:rPr>
      </w:pPr>
      <w:r w:rsidRPr="00957562">
        <w:rPr>
          <w:rFonts w:asciiTheme="majorBidi" w:hAnsiTheme="majorBidi" w:cstheme="majorBidi"/>
          <w:b/>
          <w:bCs/>
          <w:sz w:val="24"/>
          <w:szCs w:val="24"/>
        </w:rPr>
        <w:t>Les enzymes du métabolisme du lactose sont inductibles</w:t>
      </w:r>
      <w:r>
        <w:rPr>
          <w:rFonts w:asciiTheme="majorBidi" w:hAnsiTheme="majorBidi" w:cstheme="majorBidi"/>
          <w:b/>
          <w:bCs/>
          <w:sz w:val="24"/>
          <w:szCs w:val="24"/>
        </w:rPr>
        <w:t> :</w:t>
      </w:r>
      <w:r w:rsidRPr="00957562">
        <w:rPr>
          <w:rFonts w:asciiTheme="majorBidi" w:hAnsiTheme="majorBidi" w:cstheme="majorBidi"/>
          <w:b/>
          <w:bCs/>
          <w:sz w:val="24"/>
          <w:szCs w:val="24"/>
        </w:rPr>
        <w:t xml:space="preserve"> </w:t>
      </w:r>
      <w:r w:rsidRPr="007C4673">
        <w:rPr>
          <w:rFonts w:asciiTheme="majorBidi" w:hAnsiTheme="majorBidi" w:cstheme="majorBidi"/>
          <w:b/>
          <w:bCs/>
          <w:color w:val="FF0000"/>
          <w:sz w:val="24"/>
          <w:szCs w:val="24"/>
        </w:rPr>
        <w:t>(3pts)</w:t>
      </w:r>
    </w:p>
    <w:p w:rsidR="00B513B2" w:rsidRDefault="00B513B2" w:rsidP="00B513B2">
      <w:pPr>
        <w:numPr>
          <w:ilvl w:val="0"/>
          <w:numId w:val="4"/>
        </w:numPr>
      </w:pPr>
      <w:r w:rsidRPr="00957562">
        <w:t>En présence de lactose, c’est l</w:t>
      </w:r>
      <w:r w:rsidRPr="00957562">
        <w:rPr>
          <w:b/>
          <w:bCs/>
        </w:rPr>
        <w:t>’allolactose</w:t>
      </w:r>
      <w:r w:rsidRPr="00957562">
        <w:t>, un isomère du lactose, qui va jouer le rôle d’inducteur en se liant au répresseur pour l’inactiver. Cette liaison entraine un changement conformationnel du répresseur qui perd alors son affinité pour l’opérateur.</w:t>
      </w:r>
    </w:p>
    <w:p w:rsidR="00B513B2" w:rsidRPr="00957562" w:rsidRDefault="00B513B2" w:rsidP="00B513B2">
      <w:pPr>
        <w:numPr>
          <w:ilvl w:val="0"/>
          <w:numId w:val="4"/>
        </w:numPr>
      </w:pPr>
      <w:r w:rsidRPr="00957562">
        <w:t xml:space="preserve">Le site opérateur étant libéré, l’ARN polymérase peut atteindre le site d’initiation de la transcription et synthétiser l’ARN polycistronique. </w:t>
      </w:r>
    </w:p>
    <w:p w:rsidR="00B513B2" w:rsidRPr="00957562" w:rsidRDefault="00B513B2" w:rsidP="00B513B2">
      <w:pPr>
        <w:numPr>
          <w:ilvl w:val="0"/>
          <w:numId w:val="4"/>
        </w:numPr>
      </w:pPr>
      <w:r>
        <w:t xml:space="preserve">Traduction des trois protéines de structure, c’est le cas de </w:t>
      </w:r>
      <w:r w:rsidRPr="00957562">
        <w:rPr>
          <w:b/>
          <w:bCs/>
        </w:rPr>
        <w:t>Levée de l'inhibition de la transcription</w:t>
      </w:r>
      <w:r>
        <w:rPr>
          <w:b/>
          <w:bCs/>
        </w:rPr>
        <w:t>.</w:t>
      </w:r>
    </w:p>
    <w:p w:rsidR="00B513B2" w:rsidRDefault="00B513B2" w:rsidP="00B513B2">
      <w:pPr>
        <w:pStyle w:val="Paragraphedeliste"/>
        <w:numPr>
          <w:ilvl w:val="0"/>
          <w:numId w:val="4"/>
        </w:numPr>
      </w:pPr>
      <w:r w:rsidRPr="00477034">
        <w:t xml:space="preserve">La β-galactosidase (gène </w:t>
      </w:r>
      <w:r w:rsidRPr="00957562">
        <w:rPr>
          <w:i/>
          <w:iCs/>
        </w:rPr>
        <w:t xml:space="preserve">lacZ : </w:t>
      </w:r>
      <w:r w:rsidRPr="00477034">
        <w:t>3510pb). Elle hydrolyse la liaison β1-4 osidique des β-galactosides.</w:t>
      </w:r>
    </w:p>
    <w:p w:rsidR="00B513B2" w:rsidRDefault="00B513B2" w:rsidP="00B513B2">
      <w:pPr>
        <w:pStyle w:val="Paragraphedeliste"/>
        <w:numPr>
          <w:ilvl w:val="0"/>
          <w:numId w:val="4"/>
        </w:numPr>
      </w:pPr>
      <w:r w:rsidRPr="00477034">
        <w:t>La lactose perméase (gène lacY :780pb). Cette protéine membranaire permet l’entrée du lactose dans la cellule.</w:t>
      </w:r>
    </w:p>
    <w:p w:rsidR="000615C2" w:rsidRDefault="000615C2" w:rsidP="00B513B2">
      <w:pPr>
        <w:pStyle w:val="Paragraphedeliste"/>
        <w:numPr>
          <w:ilvl w:val="0"/>
          <w:numId w:val="4"/>
        </w:numPr>
      </w:pPr>
      <w:r w:rsidRPr="000615C2">
        <w:drawing>
          <wp:inline distT="0" distB="0" distL="0" distR="0">
            <wp:extent cx="5760720" cy="2618231"/>
            <wp:effectExtent l="19050" t="0" r="0" b="0"/>
            <wp:docPr id="3" name="Image 2"/>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8"/>
                    <a:srcRect/>
                    <a:stretch>
                      <a:fillRect/>
                    </a:stretch>
                  </pic:blipFill>
                  <pic:spPr bwMode="auto">
                    <a:xfrm>
                      <a:off x="0" y="0"/>
                      <a:ext cx="5760720" cy="2618231"/>
                    </a:xfrm>
                    <a:prstGeom prst="rect">
                      <a:avLst/>
                    </a:prstGeom>
                    <a:noFill/>
                    <a:ln w="9525">
                      <a:noFill/>
                      <a:miter lim="800000"/>
                      <a:headEnd/>
                      <a:tailEnd/>
                    </a:ln>
                  </pic:spPr>
                </pic:pic>
              </a:graphicData>
            </a:graphic>
          </wp:inline>
        </w:drawing>
      </w:r>
    </w:p>
    <w:p w:rsidR="00B513B2" w:rsidRPr="00B85D7C" w:rsidRDefault="00B513B2" w:rsidP="00B513B2">
      <w:pPr>
        <w:pStyle w:val="Default"/>
        <w:ind w:left="720"/>
      </w:pPr>
      <w:r w:rsidRPr="00957562">
        <w:lastRenderedPageBreak/>
        <w:t>La thiogalactoside transacétylase (gène lacA : 825pb). Son rôle n’est pas bien connu. Elle acétyle les β-galactosides non métabolisables qui peuvent alors être éliminés hors de la cellule par diffusion à travers la membrane plasmique.</w:t>
      </w:r>
    </w:p>
    <w:p w:rsidR="00B85D7C" w:rsidRPr="00DF7985" w:rsidRDefault="00B85D7C" w:rsidP="00DF7985">
      <w:pPr>
        <w:pStyle w:val="Default"/>
        <w:numPr>
          <w:ilvl w:val="0"/>
          <w:numId w:val="1"/>
        </w:numPr>
      </w:pPr>
      <w:r>
        <w:rPr>
          <w:sz w:val="23"/>
          <w:szCs w:val="23"/>
        </w:rPr>
        <w:t>Schématiser le promoteur des procaryotes ?</w:t>
      </w:r>
      <w:r w:rsidR="00366B58" w:rsidRPr="00366B58">
        <w:rPr>
          <w:rFonts w:asciiTheme="majorBidi" w:hAnsiTheme="majorBidi" w:cstheme="majorBidi"/>
          <w:color w:val="FF0000"/>
        </w:rPr>
        <w:t xml:space="preserve"> 1pt</w:t>
      </w:r>
    </w:p>
    <w:p w:rsidR="00BC6BB1" w:rsidRPr="00DF7985" w:rsidRDefault="00BC6BB1" w:rsidP="00DF7985">
      <w:pPr>
        <w:autoSpaceDE w:val="0"/>
        <w:autoSpaceDN w:val="0"/>
        <w:adjustRightInd w:val="0"/>
        <w:spacing w:after="0" w:line="240" w:lineRule="auto"/>
        <w:ind w:left="360"/>
        <w:rPr>
          <w:rFonts w:asciiTheme="majorBidi" w:hAnsiTheme="majorBidi" w:cstheme="majorBidi"/>
          <w:color w:val="000000" w:themeColor="text1"/>
          <w:sz w:val="24"/>
          <w:szCs w:val="24"/>
        </w:rPr>
      </w:pPr>
    </w:p>
    <w:p w:rsidR="00D16BA5" w:rsidRPr="00D16BA5" w:rsidRDefault="00D16BA5" w:rsidP="003371F5">
      <w:pPr>
        <w:rPr>
          <w:rStyle w:val="markedcontent"/>
          <w:rFonts w:asciiTheme="majorBidi" w:hAnsiTheme="majorBidi" w:cstheme="majorBidi"/>
          <w:sz w:val="24"/>
          <w:szCs w:val="24"/>
        </w:rPr>
      </w:pPr>
      <w:r w:rsidRPr="003371F5">
        <w:rPr>
          <w:rStyle w:val="markedcontent"/>
          <w:rFonts w:asciiTheme="majorBidi" w:hAnsiTheme="majorBidi" w:cstheme="majorBidi"/>
          <w:b/>
          <w:bCs/>
          <w:sz w:val="24"/>
          <w:szCs w:val="24"/>
          <w:u w:val="single"/>
        </w:rPr>
        <w:t xml:space="preserve">Exercice </w:t>
      </w:r>
      <w:r w:rsidR="003371F5" w:rsidRPr="003371F5">
        <w:rPr>
          <w:rStyle w:val="markedcontent"/>
          <w:rFonts w:asciiTheme="majorBidi" w:hAnsiTheme="majorBidi" w:cstheme="majorBidi"/>
          <w:b/>
          <w:bCs/>
          <w:sz w:val="24"/>
          <w:szCs w:val="24"/>
          <w:u w:val="single"/>
        </w:rPr>
        <w:t>2</w:t>
      </w:r>
      <w:r w:rsidRPr="003371F5">
        <w:rPr>
          <w:rStyle w:val="markedcontent"/>
          <w:rFonts w:asciiTheme="majorBidi" w:hAnsiTheme="majorBidi" w:cstheme="majorBidi"/>
          <w:b/>
          <w:bCs/>
          <w:sz w:val="24"/>
          <w:szCs w:val="24"/>
        </w:rPr>
        <w:t xml:space="preserve"> :</w:t>
      </w:r>
      <w:r w:rsidRPr="00D16BA5">
        <w:rPr>
          <w:rStyle w:val="markedcontent"/>
          <w:rFonts w:asciiTheme="majorBidi" w:hAnsiTheme="majorBidi" w:cstheme="majorBidi"/>
          <w:b/>
          <w:bCs/>
          <w:sz w:val="24"/>
          <w:szCs w:val="24"/>
        </w:rPr>
        <w:t xml:space="preserve"> </w:t>
      </w:r>
      <w:r>
        <w:rPr>
          <w:rStyle w:val="markedcontent"/>
          <w:rFonts w:asciiTheme="majorBidi" w:hAnsiTheme="majorBidi" w:cstheme="majorBidi"/>
          <w:b/>
          <w:bCs/>
          <w:sz w:val="24"/>
          <w:szCs w:val="24"/>
        </w:rPr>
        <w:t>Remplir le</w:t>
      </w:r>
      <w:r w:rsidR="003371F5">
        <w:rPr>
          <w:rStyle w:val="markedcontent"/>
          <w:rFonts w:asciiTheme="majorBidi" w:hAnsiTheme="majorBidi" w:cstheme="majorBidi"/>
          <w:b/>
          <w:bCs/>
          <w:sz w:val="24"/>
          <w:szCs w:val="24"/>
        </w:rPr>
        <w:t>s</w:t>
      </w:r>
      <w:r>
        <w:rPr>
          <w:rStyle w:val="markedcontent"/>
          <w:rFonts w:asciiTheme="majorBidi" w:hAnsiTheme="majorBidi" w:cstheme="majorBidi"/>
          <w:b/>
          <w:bCs/>
          <w:sz w:val="24"/>
          <w:szCs w:val="24"/>
        </w:rPr>
        <w:t xml:space="preserve"> tableau</w:t>
      </w:r>
      <w:r w:rsidR="003371F5">
        <w:rPr>
          <w:rStyle w:val="markedcontent"/>
          <w:rFonts w:asciiTheme="majorBidi" w:hAnsiTheme="majorBidi" w:cstheme="majorBidi"/>
          <w:b/>
          <w:bCs/>
          <w:sz w:val="24"/>
          <w:szCs w:val="24"/>
        </w:rPr>
        <w:t>x</w:t>
      </w:r>
      <w:r>
        <w:rPr>
          <w:rStyle w:val="markedcontent"/>
          <w:rFonts w:asciiTheme="majorBidi" w:hAnsiTheme="majorBidi" w:cstheme="majorBidi"/>
          <w:b/>
          <w:bCs/>
          <w:sz w:val="24"/>
          <w:szCs w:val="24"/>
        </w:rPr>
        <w:t xml:space="preserve"> ci-dessous : </w:t>
      </w:r>
    </w:p>
    <w:tbl>
      <w:tblPr>
        <w:tblStyle w:val="Grilledutableau"/>
        <w:tblW w:w="9954" w:type="dxa"/>
        <w:tblLook w:val="04A0"/>
      </w:tblPr>
      <w:tblGrid>
        <w:gridCol w:w="2563"/>
        <w:gridCol w:w="2617"/>
        <w:gridCol w:w="2186"/>
        <w:gridCol w:w="2588"/>
      </w:tblGrid>
      <w:tr w:rsidR="00D16BA5" w:rsidTr="00922703">
        <w:trPr>
          <w:trHeight w:val="1233"/>
        </w:trPr>
        <w:tc>
          <w:tcPr>
            <w:tcW w:w="2563" w:type="dxa"/>
          </w:tcPr>
          <w:p w:rsidR="00D16BA5" w:rsidRPr="00321A09" w:rsidRDefault="00D16BA5" w:rsidP="00922703">
            <w:pPr>
              <w:jc w:val="center"/>
              <w:rPr>
                <w:rFonts w:asciiTheme="majorBidi" w:hAnsiTheme="majorBidi" w:cstheme="majorBidi"/>
                <w:sz w:val="24"/>
                <w:szCs w:val="24"/>
              </w:rPr>
            </w:pPr>
            <w:r w:rsidRPr="00321A09">
              <w:rPr>
                <w:rFonts w:asciiTheme="majorBidi" w:hAnsiTheme="majorBidi" w:cstheme="majorBidi"/>
              </w:rPr>
              <w:t xml:space="preserve">facteurs d’initiation de la </w:t>
            </w:r>
            <w:r>
              <w:rPr>
                <w:rFonts w:asciiTheme="majorBidi" w:hAnsiTheme="majorBidi" w:cstheme="majorBidi"/>
              </w:rPr>
              <w:t>transcription</w:t>
            </w:r>
            <w:r w:rsidR="00C70D39">
              <w:rPr>
                <w:rFonts w:asciiTheme="majorBidi" w:hAnsiTheme="majorBidi" w:cstheme="majorBidi"/>
              </w:rPr>
              <w:t xml:space="preserve"> </w:t>
            </w:r>
            <w:r w:rsidR="00C70D39" w:rsidRPr="00366B58">
              <w:rPr>
                <w:rFonts w:asciiTheme="majorBidi" w:hAnsiTheme="majorBidi" w:cstheme="majorBidi"/>
                <w:color w:val="FF0000"/>
                <w:sz w:val="24"/>
                <w:szCs w:val="24"/>
              </w:rPr>
              <w:t>1pt</w:t>
            </w:r>
          </w:p>
        </w:tc>
        <w:tc>
          <w:tcPr>
            <w:tcW w:w="2617" w:type="dxa"/>
          </w:tcPr>
          <w:p w:rsidR="00D16BA5" w:rsidRPr="00321A09" w:rsidRDefault="00D16BA5" w:rsidP="00922703">
            <w:pPr>
              <w:jc w:val="center"/>
              <w:rPr>
                <w:rFonts w:asciiTheme="majorBidi" w:hAnsiTheme="majorBidi" w:cstheme="majorBidi"/>
                <w:sz w:val="24"/>
                <w:szCs w:val="24"/>
              </w:rPr>
            </w:pPr>
            <w:r w:rsidRPr="00321A09">
              <w:rPr>
                <w:rFonts w:asciiTheme="majorBidi" w:hAnsiTheme="majorBidi" w:cstheme="majorBidi"/>
              </w:rPr>
              <w:t>facteurs d’élongation de la traduction</w:t>
            </w:r>
            <w:r w:rsidR="00C70D39">
              <w:rPr>
                <w:rFonts w:asciiTheme="majorBidi" w:hAnsiTheme="majorBidi" w:cstheme="majorBidi"/>
              </w:rPr>
              <w:t xml:space="preserve"> </w:t>
            </w:r>
            <w:r w:rsidR="00C70D39" w:rsidRPr="00366B58">
              <w:rPr>
                <w:rFonts w:asciiTheme="majorBidi" w:hAnsiTheme="majorBidi" w:cstheme="majorBidi"/>
                <w:color w:val="FF0000"/>
                <w:sz w:val="24"/>
                <w:szCs w:val="24"/>
              </w:rPr>
              <w:t>1pt</w:t>
            </w:r>
          </w:p>
        </w:tc>
        <w:tc>
          <w:tcPr>
            <w:tcW w:w="2186" w:type="dxa"/>
          </w:tcPr>
          <w:p w:rsidR="00D16BA5" w:rsidRPr="00321A09" w:rsidRDefault="00D16BA5" w:rsidP="00922703">
            <w:pPr>
              <w:jc w:val="center"/>
              <w:rPr>
                <w:rFonts w:asciiTheme="majorBidi" w:hAnsiTheme="majorBidi" w:cstheme="majorBidi"/>
              </w:rPr>
            </w:pPr>
            <w:r w:rsidRPr="00AA26DA">
              <w:rPr>
                <w:rFonts w:asciiTheme="majorBidi" w:hAnsiTheme="majorBidi" w:cstheme="majorBidi"/>
              </w:rPr>
              <w:t xml:space="preserve">facteurs </w:t>
            </w:r>
            <w:r w:rsidRPr="00321A09">
              <w:rPr>
                <w:rFonts w:asciiTheme="majorBidi" w:hAnsiTheme="majorBidi" w:cstheme="majorBidi"/>
              </w:rPr>
              <w:t>d’initiation</w:t>
            </w:r>
            <w:r w:rsidRPr="00AA26DA">
              <w:rPr>
                <w:rFonts w:asciiTheme="majorBidi" w:hAnsiTheme="majorBidi" w:cstheme="majorBidi"/>
              </w:rPr>
              <w:t xml:space="preserve"> de </w:t>
            </w:r>
            <w:r>
              <w:rPr>
                <w:rFonts w:asciiTheme="majorBidi" w:hAnsiTheme="majorBidi" w:cstheme="majorBidi"/>
              </w:rPr>
              <w:t xml:space="preserve">la </w:t>
            </w:r>
            <w:r w:rsidRPr="00321A09">
              <w:rPr>
                <w:rFonts w:asciiTheme="majorBidi" w:hAnsiTheme="majorBidi" w:cstheme="majorBidi"/>
              </w:rPr>
              <w:t>traduction</w:t>
            </w:r>
            <w:r>
              <w:rPr>
                <w:rFonts w:asciiTheme="majorBidi" w:hAnsiTheme="majorBidi" w:cstheme="majorBidi"/>
              </w:rPr>
              <w:t xml:space="preserve"> </w:t>
            </w:r>
            <w:r w:rsidR="00C70D39" w:rsidRPr="00366B58">
              <w:rPr>
                <w:rFonts w:asciiTheme="majorBidi" w:hAnsiTheme="majorBidi" w:cstheme="majorBidi"/>
                <w:color w:val="FF0000"/>
                <w:sz w:val="24"/>
                <w:szCs w:val="24"/>
              </w:rPr>
              <w:t>1</w:t>
            </w:r>
            <w:r w:rsidR="00C70D39">
              <w:rPr>
                <w:rFonts w:asciiTheme="majorBidi" w:hAnsiTheme="majorBidi" w:cstheme="majorBidi"/>
                <w:color w:val="FF0000"/>
                <w:sz w:val="24"/>
                <w:szCs w:val="24"/>
              </w:rPr>
              <w:t>.75</w:t>
            </w:r>
            <w:r w:rsidR="00C70D39" w:rsidRPr="00366B58">
              <w:rPr>
                <w:rFonts w:asciiTheme="majorBidi" w:hAnsiTheme="majorBidi" w:cstheme="majorBidi"/>
                <w:color w:val="FF0000"/>
                <w:sz w:val="24"/>
                <w:szCs w:val="24"/>
              </w:rPr>
              <w:t>pt</w:t>
            </w:r>
          </w:p>
        </w:tc>
        <w:tc>
          <w:tcPr>
            <w:tcW w:w="2588" w:type="dxa"/>
          </w:tcPr>
          <w:p w:rsidR="00D16BA5" w:rsidRPr="00AA26DA" w:rsidRDefault="00D16BA5" w:rsidP="00922703">
            <w:pPr>
              <w:jc w:val="center"/>
              <w:rPr>
                <w:rFonts w:asciiTheme="majorBidi" w:hAnsiTheme="majorBidi" w:cstheme="majorBidi"/>
              </w:rPr>
            </w:pPr>
            <w:r w:rsidRPr="00321A09">
              <w:rPr>
                <w:rFonts w:asciiTheme="majorBidi" w:hAnsiTheme="majorBidi" w:cstheme="majorBidi"/>
              </w:rPr>
              <w:t>facteurs de terminaison de la traduction</w:t>
            </w:r>
            <w:r w:rsidR="00C70D39" w:rsidRPr="00366B58">
              <w:rPr>
                <w:rFonts w:asciiTheme="majorBidi" w:hAnsiTheme="majorBidi" w:cstheme="majorBidi"/>
                <w:color w:val="FF0000"/>
                <w:sz w:val="24"/>
                <w:szCs w:val="24"/>
              </w:rPr>
              <w:t>1pt</w:t>
            </w:r>
          </w:p>
        </w:tc>
      </w:tr>
      <w:tr w:rsidR="00D16BA5" w:rsidTr="00922703">
        <w:trPr>
          <w:trHeight w:val="2769"/>
        </w:trPr>
        <w:tc>
          <w:tcPr>
            <w:tcW w:w="2563" w:type="dxa"/>
          </w:tcPr>
          <w:p w:rsidR="00D16BA5" w:rsidRDefault="00D16BA5" w:rsidP="00922703">
            <w:pPr>
              <w:rPr>
                <w:rFonts w:asciiTheme="majorBidi" w:hAnsiTheme="majorBidi" w:cstheme="majorBidi"/>
                <w:b/>
                <w:bCs/>
                <w:sz w:val="24"/>
                <w:szCs w:val="24"/>
              </w:rPr>
            </w:pPr>
          </w:p>
          <w:p w:rsidR="00D16BA5" w:rsidRDefault="005902B0" w:rsidP="00922703">
            <w:pPr>
              <w:rPr>
                <w:rFonts w:asciiTheme="majorBidi" w:hAnsiTheme="majorBidi" w:cstheme="majorBidi"/>
                <w:b/>
                <w:bCs/>
                <w:sz w:val="24"/>
                <w:szCs w:val="24"/>
              </w:rPr>
            </w:pPr>
            <w:r>
              <w:rPr>
                <w:rFonts w:asciiTheme="majorBidi" w:hAnsiTheme="majorBidi" w:cstheme="majorBidi"/>
                <w:b/>
                <w:bCs/>
                <w:sz w:val="24"/>
                <w:szCs w:val="24"/>
              </w:rPr>
              <w:t>TFI, TFII, TFIII </w:t>
            </w:r>
          </w:p>
          <w:p w:rsidR="005902B0" w:rsidRDefault="005902B0" w:rsidP="00922703">
            <w:pPr>
              <w:rPr>
                <w:rFonts w:asciiTheme="majorBidi" w:hAnsiTheme="majorBidi" w:cstheme="majorBidi"/>
                <w:b/>
                <w:bCs/>
                <w:sz w:val="24"/>
                <w:szCs w:val="24"/>
              </w:rPr>
            </w:pPr>
            <w:r>
              <w:rPr>
                <w:rFonts w:asciiTheme="majorBidi" w:hAnsiTheme="majorBidi" w:cstheme="majorBidi"/>
                <w:b/>
                <w:bCs/>
                <w:sz w:val="24"/>
                <w:szCs w:val="24"/>
              </w:rPr>
              <w:t xml:space="preserve">TFII D. TFII A. TFII B. TFII F. TFII E. TFII H </w:t>
            </w:r>
          </w:p>
          <w:p w:rsidR="00D16BA5" w:rsidRDefault="00D16BA5" w:rsidP="00922703">
            <w:pPr>
              <w:rPr>
                <w:rFonts w:asciiTheme="majorBidi" w:hAnsiTheme="majorBidi" w:cstheme="majorBidi"/>
                <w:b/>
                <w:bCs/>
                <w:sz w:val="24"/>
                <w:szCs w:val="24"/>
              </w:rPr>
            </w:pPr>
          </w:p>
          <w:p w:rsidR="00D16BA5" w:rsidRDefault="00D16BA5" w:rsidP="00922703">
            <w:pPr>
              <w:rPr>
                <w:rFonts w:asciiTheme="majorBidi" w:hAnsiTheme="majorBidi" w:cstheme="majorBidi"/>
                <w:b/>
                <w:bCs/>
                <w:sz w:val="24"/>
                <w:szCs w:val="24"/>
              </w:rPr>
            </w:pPr>
          </w:p>
          <w:p w:rsidR="00D16BA5" w:rsidRDefault="00D16BA5" w:rsidP="00922703">
            <w:pPr>
              <w:rPr>
                <w:rFonts w:asciiTheme="majorBidi" w:hAnsiTheme="majorBidi" w:cstheme="majorBidi"/>
                <w:b/>
                <w:bCs/>
                <w:sz w:val="24"/>
                <w:szCs w:val="24"/>
              </w:rPr>
            </w:pPr>
          </w:p>
        </w:tc>
        <w:tc>
          <w:tcPr>
            <w:tcW w:w="2617" w:type="dxa"/>
          </w:tcPr>
          <w:p w:rsidR="005902B0" w:rsidRDefault="005902B0" w:rsidP="00922703">
            <w:pPr>
              <w:rPr>
                <w:rFonts w:asciiTheme="majorBidi" w:hAnsiTheme="majorBidi" w:cstheme="majorBidi"/>
                <w:b/>
                <w:bCs/>
                <w:sz w:val="24"/>
                <w:szCs w:val="24"/>
              </w:rPr>
            </w:pPr>
            <w:r>
              <w:rPr>
                <w:rFonts w:asciiTheme="majorBidi" w:hAnsiTheme="majorBidi" w:cstheme="majorBidi"/>
                <w:b/>
                <w:bCs/>
                <w:sz w:val="24"/>
                <w:szCs w:val="24"/>
              </w:rPr>
              <w:t>pro</w:t>
            </w:r>
          </w:p>
          <w:p w:rsidR="00D16BA5" w:rsidRDefault="005902B0" w:rsidP="00922703">
            <w:pPr>
              <w:rPr>
                <w:rFonts w:asciiTheme="majorBidi" w:hAnsiTheme="majorBidi" w:cstheme="majorBidi"/>
                <w:b/>
                <w:bCs/>
                <w:sz w:val="24"/>
                <w:szCs w:val="24"/>
              </w:rPr>
            </w:pPr>
            <w:r>
              <w:rPr>
                <w:rFonts w:asciiTheme="majorBidi" w:hAnsiTheme="majorBidi" w:cstheme="majorBidi"/>
                <w:b/>
                <w:bCs/>
                <w:sz w:val="24"/>
                <w:szCs w:val="24"/>
              </w:rPr>
              <w:t>EFTu- EFTs</w:t>
            </w:r>
          </w:p>
          <w:p w:rsidR="005902B0" w:rsidRDefault="005902B0" w:rsidP="00922703">
            <w:pPr>
              <w:rPr>
                <w:rFonts w:asciiTheme="majorBidi" w:hAnsiTheme="majorBidi" w:cstheme="majorBidi"/>
                <w:b/>
                <w:bCs/>
                <w:sz w:val="24"/>
                <w:szCs w:val="24"/>
              </w:rPr>
            </w:pPr>
            <w:r>
              <w:rPr>
                <w:rFonts w:asciiTheme="majorBidi" w:hAnsiTheme="majorBidi" w:cstheme="majorBidi"/>
                <w:b/>
                <w:bCs/>
                <w:sz w:val="24"/>
                <w:szCs w:val="24"/>
              </w:rPr>
              <w:t>Eucar</w:t>
            </w:r>
          </w:p>
          <w:p w:rsidR="005902B0" w:rsidRDefault="005902B0" w:rsidP="00922703">
            <w:pPr>
              <w:rPr>
                <w:rFonts w:asciiTheme="majorBidi" w:hAnsiTheme="majorBidi" w:cstheme="majorBidi"/>
                <w:b/>
                <w:bCs/>
                <w:sz w:val="24"/>
                <w:szCs w:val="24"/>
              </w:rPr>
            </w:pPr>
            <w:r>
              <w:rPr>
                <w:rFonts w:asciiTheme="majorBidi" w:hAnsiTheme="majorBidi" w:cstheme="majorBidi"/>
                <w:b/>
                <w:bCs/>
                <w:sz w:val="24"/>
                <w:szCs w:val="24"/>
              </w:rPr>
              <w:t>eEF 1</w:t>
            </w:r>
          </w:p>
          <w:p w:rsidR="005902B0" w:rsidRDefault="005902B0" w:rsidP="00922703">
            <w:pPr>
              <w:rPr>
                <w:rFonts w:asciiTheme="majorBidi" w:hAnsiTheme="majorBidi" w:cstheme="majorBidi"/>
                <w:b/>
                <w:bCs/>
                <w:sz w:val="24"/>
                <w:szCs w:val="24"/>
              </w:rPr>
            </w:pPr>
            <w:r>
              <w:rPr>
                <w:rFonts w:asciiTheme="majorBidi" w:hAnsiTheme="majorBidi" w:cstheme="majorBidi"/>
                <w:b/>
                <w:bCs/>
                <w:sz w:val="24"/>
                <w:szCs w:val="24"/>
              </w:rPr>
              <w:t>eEF2</w:t>
            </w:r>
          </w:p>
        </w:tc>
        <w:tc>
          <w:tcPr>
            <w:tcW w:w="2186" w:type="dxa"/>
          </w:tcPr>
          <w:p w:rsidR="00D16BA5" w:rsidRDefault="006743F1" w:rsidP="00922703">
            <w:pPr>
              <w:rPr>
                <w:rFonts w:asciiTheme="majorBidi" w:hAnsiTheme="majorBidi" w:cstheme="majorBidi"/>
                <w:b/>
                <w:bCs/>
                <w:sz w:val="24"/>
                <w:szCs w:val="24"/>
              </w:rPr>
            </w:pPr>
            <w:r>
              <w:rPr>
                <w:rFonts w:asciiTheme="majorBidi" w:hAnsiTheme="majorBidi" w:cstheme="majorBidi"/>
                <w:b/>
                <w:bCs/>
                <w:sz w:val="24"/>
                <w:szCs w:val="24"/>
              </w:rPr>
              <w:t>Pro : IF1, 2, 3</w:t>
            </w:r>
          </w:p>
          <w:p w:rsidR="00233C91" w:rsidRDefault="006743F1" w:rsidP="00922703">
            <w:pPr>
              <w:rPr>
                <w:rFonts w:asciiTheme="majorBidi" w:hAnsiTheme="majorBidi" w:cstheme="majorBidi"/>
                <w:b/>
                <w:bCs/>
                <w:sz w:val="24"/>
                <w:szCs w:val="24"/>
              </w:rPr>
            </w:pPr>
            <w:r>
              <w:rPr>
                <w:rFonts w:asciiTheme="majorBidi" w:hAnsiTheme="majorBidi" w:cstheme="majorBidi"/>
                <w:b/>
                <w:bCs/>
                <w:sz w:val="24"/>
                <w:szCs w:val="24"/>
              </w:rPr>
              <w:t>Eucar :</w:t>
            </w:r>
          </w:p>
          <w:p w:rsidR="006743F1" w:rsidRDefault="006743F1" w:rsidP="00922703">
            <w:pPr>
              <w:rPr>
                <w:rFonts w:asciiTheme="majorBidi" w:hAnsiTheme="majorBidi" w:cstheme="majorBidi"/>
                <w:b/>
                <w:bCs/>
                <w:sz w:val="24"/>
                <w:szCs w:val="24"/>
              </w:rPr>
            </w:pPr>
            <w:r>
              <w:rPr>
                <w:rFonts w:asciiTheme="majorBidi" w:hAnsiTheme="majorBidi" w:cstheme="majorBidi"/>
                <w:b/>
                <w:bCs/>
                <w:sz w:val="24"/>
                <w:szCs w:val="24"/>
              </w:rPr>
              <w:t xml:space="preserve"> eIF1, eIF1A, eIF2, eIF3,</w:t>
            </w:r>
            <w:r w:rsidR="00233C91">
              <w:rPr>
                <w:rFonts w:asciiTheme="majorBidi" w:hAnsiTheme="majorBidi" w:cstheme="majorBidi"/>
                <w:b/>
                <w:bCs/>
                <w:sz w:val="24"/>
                <w:szCs w:val="24"/>
              </w:rPr>
              <w:t xml:space="preserve"> eIF4A, 4B, 4G, 4E, </w:t>
            </w:r>
          </w:p>
          <w:p w:rsidR="00233C91" w:rsidRDefault="00233C91" w:rsidP="00922703">
            <w:pPr>
              <w:rPr>
                <w:rFonts w:asciiTheme="majorBidi" w:hAnsiTheme="majorBidi" w:cstheme="majorBidi"/>
                <w:b/>
                <w:bCs/>
                <w:sz w:val="24"/>
                <w:szCs w:val="24"/>
              </w:rPr>
            </w:pPr>
            <w:r>
              <w:rPr>
                <w:rFonts w:asciiTheme="majorBidi" w:hAnsiTheme="majorBidi" w:cstheme="majorBidi"/>
                <w:b/>
                <w:bCs/>
                <w:sz w:val="24"/>
                <w:szCs w:val="24"/>
              </w:rPr>
              <w:t>eIF5</w:t>
            </w:r>
          </w:p>
        </w:tc>
        <w:tc>
          <w:tcPr>
            <w:tcW w:w="2588" w:type="dxa"/>
          </w:tcPr>
          <w:p w:rsidR="00D16BA5" w:rsidRDefault="00233C91" w:rsidP="00922703">
            <w:pPr>
              <w:rPr>
                <w:rFonts w:asciiTheme="majorBidi" w:hAnsiTheme="majorBidi" w:cstheme="majorBidi"/>
                <w:b/>
                <w:bCs/>
                <w:sz w:val="24"/>
                <w:szCs w:val="24"/>
              </w:rPr>
            </w:pPr>
            <w:r>
              <w:rPr>
                <w:rFonts w:asciiTheme="majorBidi" w:hAnsiTheme="majorBidi" w:cstheme="majorBidi"/>
                <w:b/>
                <w:bCs/>
                <w:sz w:val="24"/>
                <w:szCs w:val="24"/>
              </w:rPr>
              <w:t>Pro : RF1, 2,3</w:t>
            </w:r>
          </w:p>
          <w:p w:rsidR="00233C91" w:rsidRDefault="00233C91" w:rsidP="00922703">
            <w:pPr>
              <w:rPr>
                <w:rFonts w:asciiTheme="majorBidi" w:hAnsiTheme="majorBidi" w:cstheme="majorBidi"/>
                <w:b/>
                <w:bCs/>
                <w:sz w:val="24"/>
                <w:szCs w:val="24"/>
              </w:rPr>
            </w:pPr>
            <w:r>
              <w:rPr>
                <w:rFonts w:asciiTheme="majorBidi" w:hAnsiTheme="majorBidi" w:cstheme="majorBidi"/>
                <w:b/>
                <w:bCs/>
                <w:sz w:val="24"/>
                <w:szCs w:val="24"/>
              </w:rPr>
              <w:t xml:space="preserve">Eucary : </w:t>
            </w:r>
          </w:p>
          <w:p w:rsidR="00233C91" w:rsidRDefault="00233C91" w:rsidP="00922703">
            <w:pPr>
              <w:rPr>
                <w:rFonts w:asciiTheme="majorBidi" w:hAnsiTheme="majorBidi" w:cstheme="majorBidi"/>
                <w:b/>
                <w:bCs/>
                <w:sz w:val="24"/>
                <w:szCs w:val="24"/>
              </w:rPr>
            </w:pPr>
            <w:r>
              <w:rPr>
                <w:rFonts w:asciiTheme="majorBidi" w:hAnsiTheme="majorBidi" w:cstheme="majorBidi"/>
                <w:b/>
                <w:bCs/>
                <w:sz w:val="24"/>
                <w:szCs w:val="24"/>
              </w:rPr>
              <w:t>eRF1, eRF3, RRF</w:t>
            </w:r>
          </w:p>
        </w:tc>
      </w:tr>
    </w:tbl>
    <w:p w:rsidR="00D16BA5" w:rsidRPr="005E5EE7" w:rsidRDefault="003371F5" w:rsidP="005E5EE7">
      <w:pPr>
        <w:pStyle w:val="En-tte"/>
        <w:tabs>
          <w:tab w:val="clear" w:pos="4536"/>
          <w:tab w:val="clear" w:pos="9072"/>
          <w:tab w:val="left" w:pos="4044"/>
        </w:tabs>
        <w:rPr>
          <w:rStyle w:val="markedcontent"/>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u w:val="single"/>
          <w:lang w:eastAsia="fr-FR"/>
        </w:rPr>
        <w:t>Exercice 3</w:t>
      </w:r>
      <w:r>
        <w:rPr>
          <w:rFonts w:asciiTheme="majorBidi" w:eastAsia="Times New Roman" w:hAnsiTheme="majorBidi" w:cstheme="majorBidi"/>
          <w:b/>
          <w:bCs/>
          <w:sz w:val="24"/>
          <w:szCs w:val="24"/>
          <w:lang w:eastAsia="fr-FR"/>
        </w:rPr>
        <w:t> :</w:t>
      </w:r>
    </w:p>
    <w:tbl>
      <w:tblPr>
        <w:tblStyle w:val="Grilledutableau"/>
        <w:tblW w:w="9988" w:type="dxa"/>
        <w:tblLook w:val="04A0"/>
      </w:tblPr>
      <w:tblGrid>
        <w:gridCol w:w="3085"/>
        <w:gridCol w:w="6903"/>
      </w:tblGrid>
      <w:tr w:rsidR="008C2B90" w:rsidTr="00922703">
        <w:trPr>
          <w:trHeight w:val="248"/>
        </w:trPr>
        <w:tc>
          <w:tcPr>
            <w:tcW w:w="3085" w:type="dxa"/>
          </w:tcPr>
          <w:p w:rsidR="008C2B90" w:rsidRDefault="008C2B90" w:rsidP="00922703">
            <w:pPr>
              <w:rPr>
                <w:sz w:val="20"/>
                <w:szCs w:val="20"/>
              </w:rPr>
            </w:pPr>
          </w:p>
        </w:tc>
        <w:tc>
          <w:tcPr>
            <w:tcW w:w="6903" w:type="dxa"/>
          </w:tcPr>
          <w:p w:rsidR="008C2B90" w:rsidRPr="00331125" w:rsidRDefault="008C2B90" w:rsidP="00922703">
            <w:pPr>
              <w:rPr>
                <w:rFonts w:asciiTheme="minorBidi" w:hAnsiTheme="minorBidi"/>
                <w:b/>
                <w:bCs/>
                <w:sz w:val="20"/>
                <w:szCs w:val="20"/>
              </w:rPr>
            </w:pPr>
            <w:r w:rsidRPr="00331125">
              <w:rPr>
                <w:rFonts w:asciiTheme="minorBidi" w:hAnsiTheme="minorBidi"/>
                <w:b/>
                <w:bCs/>
              </w:rPr>
              <w:t xml:space="preserve">Fonction </w:t>
            </w:r>
          </w:p>
        </w:tc>
      </w:tr>
      <w:tr w:rsidR="008C2B90" w:rsidTr="00922703">
        <w:trPr>
          <w:trHeight w:val="484"/>
        </w:trPr>
        <w:tc>
          <w:tcPr>
            <w:tcW w:w="3085" w:type="dxa"/>
          </w:tcPr>
          <w:p w:rsidR="008C2B90" w:rsidRPr="00331125" w:rsidRDefault="008C2B90" w:rsidP="00922703">
            <w:pPr>
              <w:rPr>
                <w:rFonts w:asciiTheme="minorBidi" w:hAnsiTheme="minorBidi"/>
                <w:sz w:val="20"/>
                <w:szCs w:val="20"/>
              </w:rPr>
            </w:pPr>
            <w:r w:rsidRPr="00331125">
              <w:rPr>
                <w:rFonts w:asciiTheme="minorBidi" w:hAnsiTheme="minorBidi"/>
                <w:sz w:val="20"/>
                <w:szCs w:val="20"/>
              </w:rPr>
              <w:t>ARN polymérase III</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993980" w:rsidP="00922703">
            <w:pPr>
              <w:rPr>
                <w:sz w:val="20"/>
                <w:szCs w:val="20"/>
              </w:rPr>
            </w:pPr>
            <w:r>
              <w:rPr>
                <w:sz w:val="20"/>
                <w:szCs w:val="20"/>
              </w:rPr>
              <w:t>Enzyme de transcription eucaryote des ARN t, ARN r 5s, petits ARN nucleaires</w:t>
            </w:r>
          </w:p>
          <w:p w:rsidR="008C2B90" w:rsidRDefault="008C2B90" w:rsidP="00922703">
            <w:pPr>
              <w:rPr>
                <w:sz w:val="20"/>
                <w:szCs w:val="20"/>
              </w:rPr>
            </w:pPr>
          </w:p>
          <w:p w:rsidR="00DF7985" w:rsidRDefault="00DF7985" w:rsidP="00922703">
            <w:pPr>
              <w:rPr>
                <w:sz w:val="20"/>
                <w:szCs w:val="20"/>
              </w:rPr>
            </w:pPr>
          </w:p>
        </w:tc>
      </w:tr>
      <w:tr w:rsidR="008C2B90" w:rsidTr="00922703">
        <w:trPr>
          <w:trHeight w:val="484"/>
        </w:trPr>
        <w:tc>
          <w:tcPr>
            <w:tcW w:w="3085" w:type="dxa"/>
          </w:tcPr>
          <w:p w:rsidR="008C2B90" w:rsidRPr="00331125" w:rsidRDefault="008C2B90" w:rsidP="00922703">
            <w:pPr>
              <w:rPr>
                <w:rFonts w:asciiTheme="minorBidi" w:hAnsiTheme="minorBidi"/>
                <w:sz w:val="20"/>
                <w:szCs w:val="20"/>
              </w:rPr>
            </w:pPr>
            <w:r w:rsidRPr="00331125">
              <w:rPr>
                <w:rFonts w:asciiTheme="minorBidi" w:hAnsiTheme="minorBidi"/>
                <w:sz w:val="20"/>
                <w:szCs w:val="20"/>
              </w:rPr>
              <w:t>ARN polymérase I</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8C2B90" w:rsidP="00922703">
            <w:pPr>
              <w:rPr>
                <w:sz w:val="20"/>
                <w:szCs w:val="20"/>
              </w:rPr>
            </w:pPr>
          </w:p>
          <w:p w:rsidR="00DF7985" w:rsidRDefault="00993980" w:rsidP="00922703">
            <w:pPr>
              <w:rPr>
                <w:sz w:val="20"/>
                <w:szCs w:val="20"/>
              </w:rPr>
            </w:pPr>
            <w:r>
              <w:rPr>
                <w:sz w:val="20"/>
                <w:szCs w:val="20"/>
              </w:rPr>
              <w:t>Enzyme de transcription eucaryote des ARN r (28s, 18s, 5,8s)</w:t>
            </w:r>
          </w:p>
          <w:p w:rsidR="008C2B90" w:rsidRDefault="008C2B90" w:rsidP="00922703">
            <w:pPr>
              <w:rPr>
                <w:sz w:val="20"/>
                <w:szCs w:val="20"/>
              </w:rPr>
            </w:pPr>
          </w:p>
        </w:tc>
      </w:tr>
      <w:tr w:rsidR="008C2B90" w:rsidTr="00922703">
        <w:trPr>
          <w:trHeight w:val="484"/>
        </w:trPr>
        <w:tc>
          <w:tcPr>
            <w:tcW w:w="3085" w:type="dxa"/>
          </w:tcPr>
          <w:p w:rsidR="008C2B90" w:rsidRPr="00331125" w:rsidRDefault="008C2B90" w:rsidP="00DF7985">
            <w:pPr>
              <w:rPr>
                <w:rFonts w:asciiTheme="minorBidi" w:hAnsiTheme="minorBidi"/>
                <w:sz w:val="20"/>
                <w:szCs w:val="20"/>
              </w:rPr>
            </w:pPr>
            <w:r w:rsidRPr="00331125">
              <w:rPr>
                <w:rFonts w:asciiTheme="minorBidi" w:hAnsiTheme="minorBidi"/>
                <w:sz w:val="20"/>
                <w:szCs w:val="20"/>
              </w:rPr>
              <w:t>TF</w:t>
            </w:r>
            <w:r w:rsidR="00DF7985">
              <w:rPr>
                <w:rFonts w:asciiTheme="minorBidi" w:hAnsiTheme="minorBidi"/>
                <w:sz w:val="20"/>
                <w:szCs w:val="20"/>
              </w:rPr>
              <w:t xml:space="preserve"> II</w:t>
            </w:r>
            <w:r w:rsidRPr="00331125">
              <w:rPr>
                <w:rFonts w:asciiTheme="minorBidi" w:hAnsiTheme="minorBidi"/>
                <w:sz w:val="20"/>
                <w:szCs w:val="20"/>
              </w:rPr>
              <w:t xml:space="preserve">D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8C2B90" w:rsidP="00922703">
            <w:pPr>
              <w:rPr>
                <w:sz w:val="20"/>
                <w:szCs w:val="20"/>
              </w:rPr>
            </w:pPr>
          </w:p>
          <w:p w:rsidR="008C2B90" w:rsidRDefault="00993980" w:rsidP="00922703">
            <w:pPr>
              <w:rPr>
                <w:sz w:val="20"/>
                <w:szCs w:val="20"/>
              </w:rPr>
            </w:pPr>
            <w:r>
              <w:rPr>
                <w:sz w:val="20"/>
                <w:szCs w:val="20"/>
              </w:rPr>
              <w:t xml:space="preserve">Facteur générale de transcription chez les eucaryotes, qui reconnais et se fixe premièrement sur la boite TATA box du promoteur  </w:t>
            </w:r>
          </w:p>
          <w:p w:rsidR="00DF7985" w:rsidRDefault="00DF7985" w:rsidP="00922703">
            <w:pPr>
              <w:rPr>
                <w:sz w:val="20"/>
                <w:szCs w:val="20"/>
              </w:rPr>
            </w:pPr>
          </w:p>
        </w:tc>
      </w:tr>
      <w:tr w:rsidR="008C2B90" w:rsidTr="00922703">
        <w:trPr>
          <w:trHeight w:val="484"/>
        </w:trPr>
        <w:tc>
          <w:tcPr>
            <w:tcW w:w="3085" w:type="dxa"/>
          </w:tcPr>
          <w:p w:rsidR="008C2B90" w:rsidRPr="00331125" w:rsidRDefault="00DF7985" w:rsidP="00922703">
            <w:pPr>
              <w:rPr>
                <w:rFonts w:asciiTheme="minorBidi" w:hAnsiTheme="minorBidi"/>
                <w:sz w:val="20"/>
                <w:szCs w:val="20"/>
              </w:rPr>
            </w:pPr>
            <w:r w:rsidRPr="00331125">
              <w:rPr>
                <w:rFonts w:asciiTheme="minorBidi" w:hAnsiTheme="minorBidi"/>
                <w:sz w:val="20"/>
                <w:szCs w:val="20"/>
              </w:rPr>
              <w:t>CFI et CFII</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8C2B90" w:rsidP="00922703">
            <w:pPr>
              <w:rPr>
                <w:sz w:val="20"/>
                <w:szCs w:val="20"/>
              </w:rPr>
            </w:pPr>
          </w:p>
          <w:p w:rsidR="008C2B90" w:rsidRDefault="00993980" w:rsidP="00922703">
            <w:pPr>
              <w:rPr>
                <w:sz w:val="20"/>
                <w:szCs w:val="20"/>
              </w:rPr>
            </w:pPr>
            <w:r>
              <w:rPr>
                <w:sz w:val="20"/>
                <w:szCs w:val="20"/>
              </w:rPr>
              <w:t>Facteurs de clivage des ARN prem afin d’ajouter la queue POLY A</w:t>
            </w:r>
          </w:p>
          <w:p w:rsidR="00DF7985" w:rsidRDefault="00DF7985" w:rsidP="00922703">
            <w:pPr>
              <w:rPr>
                <w:sz w:val="20"/>
                <w:szCs w:val="20"/>
              </w:rPr>
            </w:pPr>
          </w:p>
        </w:tc>
      </w:tr>
      <w:tr w:rsidR="008C2B90" w:rsidTr="00922703">
        <w:trPr>
          <w:trHeight w:val="484"/>
        </w:trPr>
        <w:tc>
          <w:tcPr>
            <w:tcW w:w="3085" w:type="dxa"/>
          </w:tcPr>
          <w:p w:rsidR="008C2B90" w:rsidRPr="00331125" w:rsidRDefault="00DF7985" w:rsidP="00922703">
            <w:pPr>
              <w:rPr>
                <w:rFonts w:asciiTheme="minorBidi" w:hAnsiTheme="minorBidi"/>
                <w:sz w:val="20"/>
                <w:szCs w:val="20"/>
              </w:rPr>
            </w:pPr>
            <w:r w:rsidRPr="00331125">
              <w:rPr>
                <w:rFonts w:asciiTheme="minorBidi" w:hAnsiTheme="minorBidi"/>
                <w:sz w:val="20"/>
                <w:szCs w:val="20"/>
              </w:rPr>
              <w:t>TTATTT</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645DD7" w:rsidP="00922703">
            <w:pPr>
              <w:rPr>
                <w:sz w:val="20"/>
                <w:szCs w:val="20"/>
              </w:rPr>
            </w:pPr>
            <w:r>
              <w:rPr>
                <w:sz w:val="20"/>
                <w:szCs w:val="20"/>
              </w:rPr>
              <w:t>Séquence de terminaison de la transcription chez les eucaryotes</w:t>
            </w:r>
          </w:p>
          <w:p w:rsidR="00DF7985" w:rsidRDefault="00DF7985" w:rsidP="00922703">
            <w:pPr>
              <w:rPr>
                <w:sz w:val="20"/>
                <w:szCs w:val="20"/>
              </w:rPr>
            </w:pPr>
          </w:p>
        </w:tc>
      </w:tr>
      <w:tr w:rsidR="008C2B90" w:rsidTr="00922703">
        <w:trPr>
          <w:trHeight w:val="484"/>
        </w:trPr>
        <w:tc>
          <w:tcPr>
            <w:tcW w:w="3085" w:type="dxa"/>
          </w:tcPr>
          <w:p w:rsidR="008C2B90" w:rsidRPr="00331125" w:rsidRDefault="00DF7985" w:rsidP="00922703">
            <w:pPr>
              <w:rPr>
                <w:rFonts w:asciiTheme="minorBidi" w:hAnsiTheme="minorBidi"/>
                <w:sz w:val="20"/>
                <w:szCs w:val="20"/>
              </w:rPr>
            </w:pPr>
            <w:r>
              <w:rPr>
                <w:rFonts w:asciiTheme="minorBidi" w:hAnsiTheme="minorBidi"/>
                <w:sz w:val="20"/>
                <w:szCs w:val="20"/>
              </w:rPr>
              <w:t>PABP</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8C2B90" w:rsidP="00922703">
            <w:pPr>
              <w:rPr>
                <w:sz w:val="20"/>
                <w:szCs w:val="20"/>
              </w:rPr>
            </w:pPr>
          </w:p>
          <w:p w:rsidR="008C2B90" w:rsidRDefault="00726151" w:rsidP="00922703">
            <w:pPr>
              <w:rPr>
                <w:sz w:val="20"/>
                <w:szCs w:val="20"/>
              </w:rPr>
            </w:pPr>
            <w:r>
              <w:rPr>
                <w:sz w:val="20"/>
                <w:szCs w:val="20"/>
              </w:rPr>
              <w:t>Facteur ou proteine de preinitiation de la traduction eucaryote, se lie à la queue POLY A à 3 et EIF4G à 5 pour former le pseudo cercle afin de controler la qualité d’ARNm</w:t>
            </w:r>
          </w:p>
          <w:p w:rsidR="00DF7985" w:rsidRDefault="00DF7985" w:rsidP="00922703">
            <w:pPr>
              <w:rPr>
                <w:sz w:val="20"/>
                <w:szCs w:val="20"/>
              </w:rPr>
            </w:pPr>
          </w:p>
        </w:tc>
      </w:tr>
      <w:tr w:rsidR="008C2B90" w:rsidTr="00922703">
        <w:trPr>
          <w:trHeight w:val="484"/>
        </w:trPr>
        <w:tc>
          <w:tcPr>
            <w:tcW w:w="3085" w:type="dxa"/>
          </w:tcPr>
          <w:p w:rsidR="008C2B90" w:rsidRPr="00331125" w:rsidRDefault="008C2B90" w:rsidP="00922703">
            <w:pPr>
              <w:rPr>
                <w:rFonts w:asciiTheme="minorBidi" w:hAnsiTheme="minorBidi"/>
                <w:sz w:val="20"/>
                <w:szCs w:val="20"/>
              </w:rPr>
            </w:pPr>
            <w:r w:rsidRPr="00331125">
              <w:rPr>
                <w:rFonts w:asciiTheme="minorBidi" w:hAnsiTheme="minorBidi"/>
                <w:sz w:val="20"/>
                <w:szCs w:val="20"/>
              </w:rPr>
              <w:t>PAP</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645DD7" w:rsidP="00922703">
            <w:pPr>
              <w:rPr>
                <w:sz w:val="20"/>
                <w:szCs w:val="20"/>
              </w:rPr>
            </w:pPr>
            <w:r>
              <w:rPr>
                <w:sz w:val="20"/>
                <w:szCs w:val="20"/>
              </w:rPr>
              <w:t>Poly A Polymérase Enzyme d’ajout de la queue poly  A à l’extrémité 3 des ARN prem</w:t>
            </w:r>
          </w:p>
          <w:p w:rsidR="00DF7985" w:rsidRDefault="00DF7985" w:rsidP="00922703">
            <w:pPr>
              <w:rPr>
                <w:sz w:val="20"/>
                <w:szCs w:val="20"/>
              </w:rPr>
            </w:pPr>
          </w:p>
          <w:p w:rsidR="008C2B90" w:rsidRDefault="008C2B90" w:rsidP="00922703">
            <w:pPr>
              <w:rPr>
                <w:sz w:val="20"/>
                <w:szCs w:val="20"/>
              </w:rPr>
            </w:pPr>
          </w:p>
        </w:tc>
      </w:tr>
      <w:tr w:rsidR="008C2B90" w:rsidTr="00922703">
        <w:trPr>
          <w:trHeight w:val="484"/>
        </w:trPr>
        <w:tc>
          <w:tcPr>
            <w:tcW w:w="3085" w:type="dxa"/>
          </w:tcPr>
          <w:p w:rsidR="008C2B90" w:rsidRPr="00331125" w:rsidRDefault="008C2B90" w:rsidP="00922703">
            <w:pPr>
              <w:rPr>
                <w:rFonts w:asciiTheme="minorBidi" w:hAnsiTheme="minorBidi"/>
                <w:sz w:val="20"/>
                <w:szCs w:val="20"/>
              </w:rPr>
            </w:pPr>
            <w:r w:rsidRPr="00331125">
              <w:rPr>
                <w:rFonts w:asciiTheme="minorBidi" w:hAnsiTheme="minorBidi"/>
                <w:sz w:val="20"/>
                <w:szCs w:val="20"/>
              </w:rPr>
              <w:t>ARNt</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8C2B90" w:rsidP="00922703">
            <w:pPr>
              <w:rPr>
                <w:sz w:val="20"/>
                <w:szCs w:val="20"/>
              </w:rPr>
            </w:pPr>
          </w:p>
          <w:p w:rsidR="008C2B90" w:rsidRDefault="00645DD7" w:rsidP="00922703">
            <w:pPr>
              <w:rPr>
                <w:sz w:val="20"/>
                <w:szCs w:val="20"/>
              </w:rPr>
            </w:pPr>
            <w:r>
              <w:rPr>
                <w:sz w:val="20"/>
                <w:szCs w:val="20"/>
              </w:rPr>
              <w:t>Transport des acides aminés via une liaison ester riche en energie au ribosome lors la traduction</w:t>
            </w:r>
          </w:p>
          <w:p w:rsidR="00DF7985" w:rsidRDefault="00DF7985" w:rsidP="00922703">
            <w:pPr>
              <w:rPr>
                <w:sz w:val="20"/>
                <w:szCs w:val="20"/>
              </w:rPr>
            </w:pPr>
          </w:p>
        </w:tc>
      </w:tr>
      <w:tr w:rsidR="008C2B90" w:rsidTr="00922703">
        <w:trPr>
          <w:trHeight w:val="484"/>
        </w:trPr>
        <w:tc>
          <w:tcPr>
            <w:tcW w:w="3085" w:type="dxa"/>
          </w:tcPr>
          <w:p w:rsidR="008C2B90" w:rsidRPr="00331125" w:rsidRDefault="008C2B90" w:rsidP="00922703">
            <w:pPr>
              <w:rPr>
                <w:rFonts w:asciiTheme="minorBidi" w:hAnsiTheme="minorBidi"/>
                <w:sz w:val="20"/>
                <w:szCs w:val="20"/>
              </w:rPr>
            </w:pPr>
            <w:r w:rsidRPr="00331125">
              <w:rPr>
                <w:rFonts w:asciiTheme="minorBidi" w:hAnsiTheme="minorBidi"/>
                <w:sz w:val="20"/>
                <w:szCs w:val="20"/>
              </w:rPr>
              <w:t>CBC</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645DD7" w:rsidRDefault="00645DD7" w:rsidP="00645DD7">
            <w:pPr>
              <w:rPr>
                <w:sz w:val="20"/>
                <w:szCs w:val="20"/>
              </w:rPr>
            </w:pPr>
            <w:r>
              <w:rPr>
                <w:sz w:val="20"/>
                <w:szCs w:val="20"/>
              </w:rPr>
              <w:t>Cap Binding Complex Enzyme d’ajout de la coiffe à à l’extrémité 5 des ARN prem</w:t>
            </w:r>
          </w:p>
          <w:p w:rsidR="008C2B90" w:rsidRDefault="008C2B90" w:rsidP="00922703">
            <w:pPr>
              <w:rPr>
                <w:sz w:val="20"/>
                <w:szCs w:val="20"/>
              </w:rPr>
            </w:pPr>
          </w:p>
          <w:p w:rsidR="00DF7985" w:rsidRDefault="00DF7985" w:rsidP="00922703">
            <w:pPr>
              <w:rPr>
                <w:sz w:val="20"/>
                <w:szCs w:val="20"/>
              </w:rPr>
            </w:pPr>
          </w:p>
        </w:tc>
      </w:tr>
      <w:tr w:rsidR="008C2B90" w:rsidTr="00922703">
        <w:trPr>
          <w:trHeight w:val="484"/>
        </w:trPr>
        <w:tc>
          <w:tcPr>
            <w:tcW w:w="3085" w:type="dxa"/>
          </w:tcPr>
          <w:p w:rsidR="008C2B90" w:rsidRPr="00331125" w:rsidRDefault="00DF7985" w:rsidP="00922703">
            <w:pPr>
              <w:rPr>
                <w:rFonts w:asciiTheme="minorBidi" w:hAnsiTheme="minorBidi"/>
                <w:sz w:val="20"/>
                <w:szCs w:val="20"/>
              </w:rPr>
            </w:pPr>
            <w:r w:rsidRPr="00331125">
              <w:rPr>
                <w:rFonts w:asciiTheme="minorBidi" w:hAnsiTheme="minorBidi"/>
                <w:sz w:val="20"/>
                <w:szCs w:val="20"/>
              </w:rPr>
              <w:lastRenderedPageBreak/>
              <w:t>TATA box</w:t>
            </w:r>
            <w:r w:rsidR="00645DD7">
              <w:rPr>
                <w:rFonts w:asciiTheme="minorBidi" w:hAnsiTheme="minorBidi"/>
                <w:sz w:val="20"/>
                <w:szCs w:val="20"/>
              </w:rPr>
              <w:t xml:space="preserve"> </w:t>
            </w:r>
            <w:r w:rsidR="00645DD7">
              <w:rPr>
                <w:rFonts w:asciiTheme="majorBidi" w:hAnsiTheme="majorBidi" w:cstheme="majorBidi"/>
                <w:color w:val="FF0000"/>
                <w:sz w:val="24"/>
                <w:szCs w:val="24"/>
              </w:rPr>
              <w:t xml:space="preserve">0.5 </w:t>
            </w:r>
            <w:r w:rsidR="00645DD7" w:rsidRPr="00366B58">
              <w:rPr>
                <w:rFonts w:asciiTheme="majorBidi" w:hAnsiTheme="majorBidi" w:cstheme="majorBidi"/>
                <w:color w:val="FF0000"/>
                <w:sz w:val="24"/>
                <w:szCs w:val="24"/>
              </w:rPr>
              <w:t>pt</w:t>
            </w:r>
          </w:p>
        </w:tc>
        <w:tc>
          <w:tcPr>
            <w:tcW w:w="6903" w:type="dxa"/>
          </w:tcPr>
          <w:p w:rsidR="008C2B90" w:rsidRDefault="008C2B90" w:rsidP="00922703">
            <w:pPr>
              <w:rPr>
                <w:sz w:val="20"/>
                <w:szCs w:val="20"/>
              </w:rPr>
            </w:pPr>
          </w:p>
          <w:p w:rsidR="008C2B90" w:rsidRDefault="00645DD7" w:rsidP="00922703">
            <w:pPr>
              <w:rPr>
                <w:sz w:val="20"/>
                <w:szCs w:val="20"/>
              </w:rPr>
            </w:pPr>
            <w:r>
              <w:rPr>
                <w:sz w:val="20"/>
                <w:szCs w:val="20"/>
              </w:rPr>
              <w:t>Séquence consensus du promoteur proche sur la quelle se fixe le facteur de transcription TFIID chez les eucaryotes (-25)  ou la SU σ chez les procaryote (-10)</w:t>
            </w:r>
          </w:p>
          <w:p w:rsidR="00DF7985" w:rsidRDefault="00DF7985" w:rsidP="00922703">
            <w:pPr>
              <w:rPr>
                <w:sz w:val="20"/>
                <w:szCs w:val="20"/>
              </w:rPr>
            </w:pPr>
          </w:p>
        </w:tc>
      </w:tr>
      <w:tr w:rsidR="008C2B90" w:rsidTr="00922703">
        <w:trPr>
          <w:trHeight w:val="484"/>
        </w:trPr>
        <w:tc>
          <w:tcPr>
            <w:tcW w:w="3085" w:type="dxa"/>
          </w:tcPr>
          <w:p w:rsidR="008C2B90" w:rsidRPr="00331125" w:rsidRDefault="00645DD7" w:rsidP="00922703">
            <w:pPr>
              <w:rPr>
                <w:rFonts w:asciiTheme="minorBidi" w:hAnsiTheme="minorBidi"/>
                <w:sz w:val="20"/>
                <w:szCs w:val="20"/>
              </w:rPr>
            </w:pPr>
            <w:r w:rsidRPr="00331125">
              <w:rPr>
                <w:rFonts w:asciiTheme="minorBidi" w:hAnsiTheme="minorBidi"/>
                <w:sz w:val="20"/>
                <w:szCs w:val="20"/>
              </w:rPr>
              <w:t>E</w:t>
            </w:r>
            <w:r w:rsidR="00DF7985" w:rsidRPr="00331125">
              <w:rPr>
                <w:rFonts w:asciiTheme="minorBidi" w:hAnsiTheme="minorBidi"/>
                <w:sz w:val="20"/>
                <w:szCs w:val="20"/>
              </w:rPr>
              <w:t>nhancer</w:t>
            </w:r>
            <w:r>
              <w:rPr>
                <w:rFonts w:asciiTheme="minorBidi" w:hAnsiTheme="minorBidi"/>
                <w:sz w:val="20"/>
                <w:szCs w:val="20"/>
              </w:rPr>
              <w:t xml:space="preserve"> </w:t>
            </w:r>
            <w:r>
              <w:rPr>
                <w:rFonts w:asciiTheme="majorBidi" w:hAnsiTheme="majorBidi" w:cstheme="majorBidi"/>
                <w:color w:val="FF0000"/>
                <w:sz w:val="24"/>
                <w:szCs w:val="24"/>
              </w:rPr>
              <w:t xml:space="preserve">0.5 </w:t>
            </w:r>
            <w:r w:rsidRPr="00366B58">
              <w:rPr>
                <w:rFonts w:asciiTheme="majorBidi" w:hAnsiTheme="majorBidi" w:cstheme="majorBidi"/>
                <w:color w:val="FF0000"/>
                <w:sz w:val="24"/>
                <w:szCs w:val="24"/>
              </w:rPr>
              <w:t>pt</w:t>
            </w:r>
          </w:p>
        </w:tc>
        <w:tc>
          <w:tcPr>
            <w:tcW w:w="6903" w:type="dxa"/>
          </w:tcPr>
          <w:p w:rsidR="008C2B90" w:rsidRDefault="008C2B90" w:rsidP="00922703">
            <w:pPr>
              <w:rPr>
                <w:sz w:val="20"/>
                <w:szCs w:val="20"/>
              </w:rPr>
            </w:pPr>
          </w:p>
          <w:p w:rsidR="00DF7985" w:rsidRDefault="00645DD7" w:rsidP="00922703">
            <w:pPr>
              <w:rPr>
                <w:sz w:val="20"/>
                <w:szCs w:val="20"/>
              </w:rPr>
            </w:pPr>
            <w:r>
              <w:rPr>
                <w:sz w:val="20"/>
                <w:szCs w:val="20"/>
              </w:rPr>
              <w:t>Séquence consensus du promoteur distal pour activer la transcription chez les eucaryotes</w:t>
            </w:r>
          </w:p>
          <w:p w:rsidR="008C2B90" w:rsidRDefault="008C2B90" w:rsidP="00922703">
            <w:pPr>
              <w:rPr>
                <w:sz w:val="20"/>
                <w:szCs w:val="20"/>
              </w:rPr>
            </w:pPr>
          </w:p>
        </w:tc>
      </w:tr>
    </w:tbl>
    <w:p w:rsidR="00BC6BB1" w:rsidRPr="00BC6BB1" w:rsidRDefault="00BC6BB1" w:rsidP="00BC6BB1">
      <w:pPr>
        <w:pStyle w:val="En-tte"/>
        <w:tabs>
          <w:tab w:val="clear" w:pos="4536"/>
          <w:tab w:val="clear" w:pos="9072"/>
          <w:tab w:val="left" w:pos="4044"/>
        </w:tabs>
        <w:rPr>
          <w:rFonts w:ascii="Times New Roman" w:eastAsia="Times New Roman" w:hAnsi="Times New Roman" w:cs="Times New Roman"/>
          <w:b/>
          <w:bCs/>
          <w:lang w:eastAsia="fr-FR"/>
        </w:rPr>
      </w:pPr>
    </w:p>
    <w:sectPr w:rsidR="00BC6BB1" w:rsidRPr="00BC6BB1" w:rsidSect="00BC6BB1">
      <w:headerReference w:type="default" r:id="rId9"/>
      <w:footerReference w:type="default" r:id="rId10"/>
      <w:type w:val="continuous"/>
      <w:pgSz w:w="11906" w:h="16838"/>
      <w:pgMar w:top="851"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FC2" w:rsidRDefault="004E0FC2" w:rsidP="00BC6BB1">
      <w:pPr>
        <w:spacing w:after="0" w:line="240" w:lineRule="auto"/>
      </w:pPr>
      <w:r>
        <w:separator/>
      </w:r>
    </w:p>
  </w:endnote>
  <w:endnote w:type="continuationSeparator" w:id="1">
    <w:p w:rsidR="004E0FC2" w:rsidRDefault="004E0FC2" w:rsidP="00BC6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098"/>
      <w:docPartObj>
        <w:docPartGallery w:val="Page Numbers (Bottom of Page)"/>
        <w:docPartUnique/>
      </w:docPartObj>
    </w:sdtPr>
    <w:sdtContent>
      <w:p w:rsidR="005E5EE7" w:rsidRDefault="00D51F69">
        <w:pPr>
          <w:pStyle w:val="Pieddepage"/>
          <w:jc w:val="right"/>
        </w:pPr>
        <w:fldSimple w:instr=" PAGE   \* MERGEFORMAT ">
          <w:r w:rsidR="000615C2">
            <w:rPr>
              <w:noProof/>
            </w:rPr>
            <w:t>3</w:t>
          </w:r>
        </w:fldSimple>
      </w:p>
    </w:sdtContent>
  </w:sdt>
  <w:p w:rsidR="005E5EE7" w:rsidRDefault="005E5EE7">
    <w:pPr>
      <w:pStyle w:val="Pieddepage"/>
    </w:pPr>
    <w:r>
      <w:t>Bon Courage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FC2" w:rsidRDefault="004E0FC2" w:rsidP="00BC6BB1">
      <w:pPr>
        <w:spacing w:after="0" w:line="240" w:lineRule="auto"/>
      </w:pPr>
      <w:r>
        <w:separator/>
      </w:r>
    </w:p>
  </w:footnote>
  <w:footnote w:type="continuationSeparator" w:id="1">
    <w:p w:rsidR="004E0FC2" w:rsidRDefault="004E0FC2" w:rsidP="00BC6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BB1" w:rsidRDefault="00BC6BB1" w:rsidP="00BC6BB1">
    <w:pPr>
      <w:pStyle w:val="En-tte"/>
      <w:jc w:val="center"/>
      <w:rPr>
        <w:rFonts w:ascii="Times New Roman" w:eastAsia="Times New Roman" w:hAnsi="Times New Roman" w:cs="Times New Roman"/>
        <w:b/>
        <w:bCs/>
        <w:lang w:eastAsia="fr-FR"/>
      </w:rPr>
    </w:pPr>
    <w:r>
      <w:rPr>
        <w:b/>
        <w:bCs/>
      </w:rPr>
      <w:t>M1 Biochimie appliquée</w:t>
    </w:r>
    <w:r w:rsidRPr="00602834">
      <w:rPr>
        <w:b/>
        <w:bCs/>
      </w:rPr>
      <w:t xml:space="preserve"> </w:t>
    </w:r>
    <w:r>
      <w:rPr>
        <w:b/>
        <w:bCs/>
      </w:rPr>
      <w:t xml:space="preserve">                                   </w:t>
    </w:r>
    <w:r w:rsidRPr="00863239">
      <w:rPr>
        <w:rFonts w:ascii="Times New Roman" w:eastAsia="Times New Roman" w:hAnsi="Times New Roman" w:cs="Times New Roman"/>
        <w:b/>
        <w:bCs/>
        <w:lang w:eastAsia="fr-FR"/>
      </w:rPr>
      <w:t>Université Larbi B</w:t>
    </w:r>
    <w:r>
      <w:rPr>
        <w:rFonts w:ascii="Times New Roman" w:eastAsia="Times New Roman" w:hAnsi="Times New Roman" w:cs="Times New Roman"/>
        <w:b/>
        <w:bCs/>
        <w:lang w:eastAsia="fr-FR"/>
      </w:rPr>
      <w:t xml:space="preserve">en Mhidi </w:t>
    </w:r>
    <w:r w:rsidRPr="00863239">
      <w:rPr>
        <w:rFonts w:ascii="Times New Roman" w:eastAsia="Times New Roman" w:hAnsi="Times New Roman" w:cs="Times New Roman"/>
        <w:b/>
        <w:bCs/>
        <w:lang w:eastAsia="fr-FR"/>
      </w:rPr>
      <w:t>Oum El Bouaghi</w:t>
    </w:r>
  </w:p>
  <w:p w:rsidR="00BC6BB1" w:rsidRPr="00BC6BB1" w:rsidRDefault="00BC6BB1" w:rsidP="00BC6BB1">
    <w:pPr>
      <w:pStyle w:val="En-tte"/>
      <w:tabs>
        <w:tab w:val="clear" w:pos="4536"/>
        <w:tab w:val="clear" w:pos="9072"/>
        <w:tab w:val="left" w:pos="4044"/>
      </w:tabs>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Responsable de module Karouche S           Faculté des sciences exactes, sciences de la nature et de la vie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840"/>
    <w:multiLevelType w:val="hybridMultilevel"/>
    <w:tmpl w:val="2952AAE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CD64B2"/>
    <w:multiLevelType w:val="hybridMultilevel"/>
    <w:tmpl w:val="5EA0AF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70405E"/>
    <w:multiLevelType w:val="hybridMultilevel"/>
    <w:tmpl w:val="C6E62304"/>
    <w:lvl w:ilvl="0" w:tplc="A2A4FAD6">
      <w:start w:val="1"/>
      <w:numFmt w:val="decimal"/>
      <w:lvlText w:val="%1."/>
      <w:lvlJc w:val="left"/>
      <w:pPr>
        <w:ind w:left="644"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757B95"/>
    <w:multiLevelType w:val="hybridMultilevel"/>
    <w:tmpl w:val="AE7C41DC"/>
    <w:lvl w:ilvl="0" w:tplc="00263482">
      <w:start w:val="1"/>
      <w:numFmt w:val="bullet"/>
      <w:lvlText w:val=""/>
      <w:lvlJc w:val="left"/>
      <w:pPr>
        <w:tabs>
          <w:tab w:val="num" w:pos="720"/>
        </w:tabs>
        <w:ind w:left="720" w:hanging="360"/>
      </w:pPr>
      <w:rPr>
        <w:rFonts w:ascii="Wingdings" w:hAnsi="Wingdings" w:hint="default"/>
      </w:rPr>
    </w:lvl>
    <w:lvl w:ilvl="1" w:tplc="CE96084C" w:tentative="1">
      <w:start w:val="1"/>
      <w:numFmt w:val="bullet"/>
      <w:lvlText w:val=""/>
      <w:lvlJc w:val="left"/>
      <w:pPr>
        <w:tabs>
          <w:tab w:val="num" w:pos="1440"/>
        </w:tabs>
        <w:ind w:left="1440" w:hanging="360"/>
      </w:pPr>
      <w:rPr>
        <w:rFonts w:ascii="Wingdings" w:hAnsi="Wingdings" w:hint="default"/>
      </w:rPr>
    </w:lvl>
    <w:lvl w:ilvl="2" w:tplc="99029146" w:tentative="1">
      <w:start w:val="1"/>
      <w:numFmt w:val="bullet"/>
      <w:lvlText w:val=""/>
      <w:lvlJc w:val="left"/>
      <w:pPr>
        <w:tabs>
          <w:tab w:val="num" w:pos="2160"/>
        </w:tabs>
        <w:ind w:left="2160" w:hanging="360"/>
      </w:pPr>
      <w:rPr>
        <w:rFonts w:ascii="Wingdings" w:hAnsi="Wingdings" w:hint="default"/>
      </w:rPr>
    </w:lvl>
    <w:lvl w:ilvl="3" w:tplc="D0BEBB1E" w:tentative="1">
      <w:start w:val="1"/>
      <w:numFmt w:val="bullet"/>
      <w:lvlText w:val=""/>
      <w:lvlJc w:val="left"/>
      <w:pPr>
        <w:tabs>
          <w:tab w:val="num" w:pos="2880"/>
        </w:tabs>
        <w:ind w:left="2880" w:hanging="360"/>
      </w:pPr>
      <w:rPr>
        <w:rFonts w:ascii="Wingdings" w:hAnsi="Wingdings" w:hint="default"/>
      </w:rPr>
    </w:lvl>
    <w:lvl w:ilvl="4" w:tplc="1EF61C00" w:tentative="1">
      <w:start w:val="1"/>
      <w:numFmt w:val="bullet"/>
      <w:lvlText w:val=""/>
      <w:lvlJc w:val="left"/>
      <w:pPr>
        <w:tabs>
          <w:tab w:val="num" w:pos="3600"/>
        </w:tabs>
        <w:ind w:left="3600" w:hanging="360"/>
      </w:pPr>
      <w:rPr>
        <w:rFonts w:ascii="Wingdings" w:hAnsi="Wingdings" w:hint="default"/>
      </w:rPr>
    </w:lvl>
    <w:lvl w:ilvl="5" w:tplc="80769742" w:tentative="1">
      <w:start w:val="1"/>
      <w:numFmt w:val="bullet"/>
      <w:lvlText w:val=""/>
      <w:lvlJc w:val="left"/>
      <w:pPr>
        <w:tabs>
          <w:tab w:val="num" w:pos="4320"/>
        </w:tabs>
        <w:ind w:left="4320" w:hanging="360"/>
      </w:pPr>
      <w:rPr>
        <w:rFonts w:ascii="Wingdings" w:hAnsi="Wingdings" w:hint="default"/>
      </w:rPr>
    </w:lvl>
    <w:lvl w:ilvl="6" w:tplc="42D8DBC8" w:tentative="1">
      <w:start w:val="1"/>
      <w:numFmt w:val="bullet"/>
      <w:lvlText w:val=""/>
      <w:lvlJc w:val="left"/>
      <w:pPr>
        <w:tabs>
          <w:tab w:val="num" w:pos="5040"/>
        </w:tabs>
        <w:ind w:left="5040" w:hanging="360"/>
      </w:pPr>
      <w:rPr>
        <w:rFonts w:ascii="Wingdings" w:hAnsi="Wingdings" w:hint="default"/>
      </w:rPr>
    </w:lvl>
    <w:lvl w:ilvl="7" w:tplc="494418E6" w:tentative="1">
      <w:start w:val="1"/>
      <w:numFmt w:val="bullet"/>
      <w:lvlText w:val=""/>
      <w:lvlJc w:val="left"/>
      <w:pPr>
        <w:tabs>
          <w:tab w:val="num" w:pos="5760"/>
        </w:tabs>
        <w:ind w:left="5760" w:hanging="360"/>
      </w:pPr>
      <w:rPr>
        <w:rFonts w:ascii="Wingdings" w:hAnsi="Wingdings" w:hint="default"/>
      </w:rPr>
    </w:lvl>
    <w:lvl w:ilvl="8" w:tplc="9F388D3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C6BB1"/>
    <w:rsid w:val="00023EAC"/>
    <w:rsid w:val="000615C2"/>
    <w:rsid w:val="00233C91"/>
    <w:rsid w:val="00291D9D"/>
    <w:rsid w:val="003371F5"/>
    <w:rsid w:val="00366B58"/>
    <w:rsid w:val="003937AD"/>
    <w:rsid w:val="004E0FC2"/>
    <w:rsid w:val="00510203"/>
    <w:rsid w:val="005902B0"/>
    <w:rsid w:val="005D1471"/>
    <w:rsid w:val="005E5EE7"/>
    <w:rsid w:val="00645DD7"/>
    <w:rsid w:val="006743F1"/>
    <w:rsid w:val="00726151"/>
    <w:rsid w:val="00880932"/>
    <w:rsid w:val="008C2B90"/>
    <w:rsid w:val="00993980"/>
    <w:rsid w:val="009B5064"/>
    <w:rsid w:val="00B513B2"/>
    <w:rsid w:val="00B85D7C"/>
    <w:rsid w:val="00BC6BB1"/>
    <w:rsid w:val="00C70D39"/>
    <w:rsid w:val="00D16BA5"/>
    <w:rsid w:val="00D51F69"/>
    <w:rsid w:val="00DF7985"/>
    <w:rsid w:val="00FA6DCC"/>
    <w:rsid w:val="00FD06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6BB1"/>
    <w:pPr>
      <w:tabs>
        <w:tab w:val="center" w:pos="4536"/>
        <w:tab w:val="right" w:pos="9072"/>
      </w:tabs>
      <w:spacing w:after="0" w:line="240" w:lineRule="auto"/>
    </w:pPr>
  </w:style>
  <w:style w:type="character" w:customStyle="1" w:styleId="En-tteCar">
    <w:name w:val="En-tête Car"/>
    <w:basedOn w:val="Policepardfaut"/>
    <w:link w:val="En-tte"/>
    <w:uiPriority w:val="99"/>
    <w:rsid w:val="00BC6BB1"/>
  </w:style>
  <w:style w:type="paragraph" w:styleId="Pieddepage">
    <w:name w:val="footer"/>
    <w:basedOn w:val="Normal"/>
    <w:link w:val="PieddepageCar"/>
    <w:uiPriority w:val="99"/>
    <w:unhideWhenUsed/>
    <w:rsid w:val="00BC6B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6BB1"/>
  </w:style>
  <w:style w:type="paragraph" w:styleId="Paragraphedeliste">
    <w:name w:val="List Paragraph"/>
    <w:basedOn w:val="Normal"/>
    <w:uiPriority w:val="34"/>
    <w:qFormat/>
    <w:rsid w:val="00BC6BB1"/>
    <w:pPr>
      <w:ind w:left="720"/>
      <w:contextualSpacing/>
    </w:pPr>
  </w:style>
  <w:style w:type="character" w:customStyle="1" w:styleId="markedcontent">
    <w:name w:val="markedcontent"/>
    <w:basedOn w:val="Policepardfaut"/>
    <w:rsid w:val="00D16BA5"/>
  </w:style>
  <w:style w:type="table" w:styleId="Grilledutableau">
    <w:name w:val="Table Grid"/>
    <w:basedOn w:val="TableauNormal"/>
    <w:uiPriority w:val="59"/>
    <w:rsid w:val="00D16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F7985"/>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0615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2735C-606E-4652-8C3B-BD5925B5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591</Words>
  <Characters>3254</Characters>
  <Application>Microsoft Office Word</Application>
  <DocSecurity>0</DocSecurity>
  <Lines>27</Lines>
  <Paragraphs>7</Paragraphs>
  <ScaleCrop>false</ScaleCrop>
  <Company>Sweet</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48</cp:revision>
  <dcterms:created xsi:type="dcterms:W3CDTF">2023-05-20T13:45:00Z</dcterms:created>
  <dcterms:modified xsi:type="dcterms:W3CDTF">2023-05-26T20:35:00Z</dcterms:modified>
</cp:coreProperties>
</file>