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0A178" w14:textId="77777777" w:rsidR="00872A63" w:rsidRPr="00334223" w:rsidRDefault="00872A63" w:rsidP="00872A63">
      <w:pPr>
        <w:bidi/>
        <w:spacing w:after="0" w:line="240" w:lineRule="auto"/>
        <w:jc w:val="both"/>
        <w:rPr>
          <w:rFonts w:ascii="Traditional Arabic" w:hAnsi="Traditional Arabic" w:cs="Traditional Arabic"/>
          <w:b/>
          <w:bCs/>
          <w:sz w:val="32"/>
          <w:szCs w:val="32"/>
          <w:rtl/>
          <w:lang w:bidi="ar-DZ"/>
        </w:rPr>
      </w:pPr>
      <w:r w:rsidRPr="00334223">
        <w:rPr>
          <w:rFonts w:ascii="Traditional Arabic" w:hAnsi="Traditional Arabic" w:cs="Traditional Arabic" w:hint="cs"/>
          <w:sz w:val="32"/>
          <w:szCs w:val="32"/>
          <w:rtl/>
          <w:lang w:bidi="ar-DZ"/>
        </w:rPr>
        <w:t xml:space="preserve">السنة الأولى                                                                                                               </w:t>
      </w:r>
    </w:p>
    <w:p w14:paraId="434F49D1" w14:textId="35CD1413" w:rsidR="00872A63" w:rsidRPr="002205F2" w:rsidRDefault="00872A63" w:rsidP="00872A63">
      <w:pPr>
        <w:bidi/>
        <w:spacing w:after="0" w:line="440" w:lineRule="exact"/>
        <w:jc w:val="both"/>
        <w:rPr>
          <w:rFonts w:ascii="Traditional Arabic" w:hAnsi="Traditional Arabic" w:cs="Traditional Arabic"/>
          <w:sz w:val="32"/>
          <w:szCs w:val="32"/>
          <w:rtl/>
          <w:lang w:val="en-US" w:bidi="ar-DZ"/>
        </w:rPr>
      </w:pPr>
      <w:r w:rsidRPr="00334223">
        <w:rPr>
          <w:rFonts w:ascii="Traditional Arabic" w:hAnsi="Traditional Arabic" w:cs="Traditional Arabic" w:hint="cs"/>
          <w:sz w:val="32"/>
          <w:szCs w:val="32"/>
          <w:rtl/>
          <w:lang w:bidi="ar-DZ"/>
        </w:rPr>
        <w:t>جذع مشترك حقوق</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val="en-US" w:bidi="ar-DZ"/>
        </w:rPr>
        <w:t>-تاريخ النظم-</w:t>
      </w:r>
    </w:p>
    <w:p w14:paraId="53CFACDE" w14:textId="77777777" w:rsidR="00872A63" w:rsidRPr="00DC4D6B" w:rsidRDefault="00872A63" w:rsidP="00872A63">
      <w:pPr>
        <w:bidi/>
        <w:spacing w:after="0"/>
        <w:ind w:left="360"/>
        <w:jc w:val="center"/>
        <w:rPr>
          <w:rFonts w:ascii="Traditional Arabic" w:hAnsi="Traditional Arabic" w:cs="Traditional Arabic"/>
          <w:b/>
          <w:bCs/>
          <w:sz w:val="40"/>
          <w:szCs w:val="40"/>
          <w:rtl/>
        </w:rPr>
      </w:pPr>
      <w:r w:rsidRPr="00DC4D6B">
        <w:rPr>
          <w:rFonts w:ascii="Traditional Arabic" w:hAnsi="Traditional Arabic" w:cs="Traditional Arabic" w:hint="cs"/>
          <w:b/>
          <w:bCs/>
          <w:sz w:val="40"/>
          <w:szCs w:val="40"/>
          <w:rtl/>
        </w:rPr>
        <w:t>الإجابة النموذجية</w:t>
      </w:r>
    </w:p>
    <w:p w14:paraId="6127A799" w14:textId="259C7C38" w:rsidR="00872A63" w:rsidRPr="000F3F2D" w:rsidRDefault="00872A63" w:rsidP="00872A63">
      <w:pPr>
        <w:pStyle w:val="a6"/>
        <w:numPr>
          <w:ilvl w:val="0"/>
          <w:numId w:val="1"/>
        </w:numPr>
        <w:bidi/>
        <w:spacing w:after="0"/>
        <w:ind w:left="424"/>
        <w:jc w:val="both"/>
        <w:rPr>
          <w:rFonts w:ascii="Traditional Arabic" w:hAnsi="Traditional Arabic" w:cs="Traditional Arabic"/>
          <w:sz w:val="30"/>
          <w:szCs w:val="30"/>
        </w:rPr>
      </w:pPr>
      <w:r w:rsidRPr="000F3F2D">
        <w:rPr>
          <w:rFonts w:ascii="Traditional Arabic" w:hAnsi="Traditional Arabic" w:cs="Traditional Arabic" w:hint="cs"/>
          <w:sz w:val="30"/>
          <w:szCs w:val="30"/>
          <w:rtl/>
        </w:rPr>
        <w:t xml:space="preserve">(خطأ) </w:t>
      </w:r>
    </w:p>
    <w:p w14:paraId="416C0003" w14:textId="1CF96B74" w:rsidR="00872A63" w:rsidRPr="00872A63" w:rsidRDefault="00872A63" w:rsidP="00872A63">
      <w:pPr>
        <w:pStyle w:val="a6"/>
        <w:numPr>
          <w:ilvl w:val="0"/>
          <w:numId w:val="2"/>
        </w:numPr>
        <w:bidi/>
        <w:spacing w:after="0"/>
        <w:jc w:val="both"/>
        <w:rPr>
          <w:rFonts w:ascii="Traditional Arabic" w:hAnsi="Traditional Arabic" w:cs="Traditional Arabic"/>
          <w:sz w:val="30"/>
          <w:szCs w:val="30"/>
        </w:rPr>
      </w:pPr>
      <w:r w:rsidRPr="000F3F2D">
        <w:rPr>
          <w:rFonts w:ascii="Traditional Arabic" w:hAnsi="Traditional Arabic" w:cs="Traditional Arabic"/>
          <w:sz w:val="30"/>
          <w:szCs w:val="30"/>
          <w:rtl/>
        </w:rPr>
        <w:t xml:space="preserve">دراسة التاريخ القانوني </w:t>
      </w:r>
      <w:r>
        <w:rPr>
          <w:rFonts w:ascii="Traditional Arabic" w:hAnsi="Traditional Arabic" w:cs="Traditional Arabic" w:hint="cs"/>
          <w:sz w:val="30"/>
          <w:szCs w:val="30"/>
          <w:rtl/>
        </w:rPr>
        <w:t>تحليلٌ للقاعدة القانونية التي عرفتها الحضارات البشرية والظروف التي نشأت فيها وعلاقتها مع النظم الاقتصادية والاجتماعية، ومعرفة كيف تطورت وسبب زوالها، ما يفيد الباحث للإلمام بمختلف الحضارات ومدى تأثر التشريعات الوطنية بها.</w:t>
      </w:r>
      <w:r w:rsidR="004F5A8C" w:rsidRPr="004F5A8C">
        <w:rPr>
          <w:rFonts w:ascii="Traditional Arabic" w:hAnsi="Traditional Arabic" w:cs="Traditional Arabic" w:hint="cs"/>
          <w:sz w:val="30"/>
          <w:szCs w:val="30"/>
          <w:rtl/>
        </w:rPr>
        <w:t xml:space="preserve"> </w:t>
      </w:r>
      <w:r w:rsidR="004F5A8C" w:rsidRPr="000F3F2D">
        <w:rPr>
          <w:rFonts w:ascii="Traditional Arabic" w:hAnsi="Traditional Arabic" w:cs="Traditional Arabic" w:hint="cs"/>
          <w:sz w:val="30"/>
          <w:szCs w:val="30"/>
          <w:rtl/>
        </w:rPr>
        <w:t>(1.5ن)</w:t>
      </w:r>
    </w:p>
    <w:p w14:paraId="716084E2" w14:textId="446E449A" w:rsidR="00872A63" w:rsidRPr="000F3F2D" w:rsidRDefault="00872A63" w:rsidP="00872A63">
      <w:pPr>
        <w:numPr>
          <w:ilvl w:val="0"/>
          <w:numId w:val="1"/>
        </w:numPr>
        <w:bidi/>
        <w:spacing w:after="0"/>
        <w:ind w:left="424"/>
        <w:jc w:val="both"/>
        <w:rPr>
          <w:rFonts w:ascii="Traditional Arabic" w:hAnsi="Traditional Arabic" w:cs="Traditional Arabic"/>
          <w:sz w:val="30"/>
          <w:szCs w:val="30"/>
        </w:rPr>
      </w:pPr>
      <w:r w:rsidRPr="000F3F2D">
        <w:rPr>
          <w:rFonts w:ascii="Traditional Arabic" w:hAnsi="Traditional Arabic" w:cs="Traditional Arabic" w:hint="cs"/>
          <w:sz w:val="30"/>
          <w:szCs w:val="30"/>
          <w:rtl/>
        </w:rPr>
        <w:t xml:space="preserve">(خطأ) </w:t>
      </w:r>
    </w:p>
    <w:p w14:paraId="1ED6BB87" w14:textId="0CA3447B" w:rsidR="00872A63" w:rsidRPr="000F3F2D" w:rsidRDefault="00872A63" w:rsidP="00872A63">
      <w:pPr>
        <w:pStyle w:val="a6"/>
        <w:numPr>
          <w:ilvl w:val="0"/>
          <w:numId w:val="2"/>
        </w:numPr>
        <w:bidi/>
        <w:spacing w:after="0"/>
        <w:jc w:val="both"/>
        <w:rPr>
          <w:rFonts w:ascii="Traditional Arabic" w:hAnsi="Traditional Arabic" w:cs="Traditional Arabic"/>
          <w:sz w:val="30"/>
          <w:szCs w:val="30"/>
        </w:rPr>
      </w:pPr>
      <w:r w:rsidRPr="000F3F2D">
        <w:rPr>
          <w:rFonts w:ascii="Traditional Arabic" w:hAnsi="Traditional Arabic" w:cs="Traditional Arabic"/>
          <w:sz w:val="30"/>
          <w:szCs w:val="30"/>
          <w:rtl/>
        </w:rPr>
        <w:t>الدين كان أساسًا مهمًا في تنظيم العلاقات الاجتماعية والسياسية في معظم الحضارات القديمة</w:t>
      </w:r>
      <w:r w:rsidR="004F5A8C">
        <w:rPr>
          <w:rFonts w:ascii="Traditional Arabic" w:hAnsi="Traditional Arabic" w:cs="Traditional Arabic" w:hint="cs"/>
          <w:sz w:val="30"/>
          <w:szCs w:val="30"/>
          <w:rtl/>
        </w:rPr>
        <w:t xml:space="preserve">، ضلوع رجال الدين في إلزامية القاعدة القانونية من جهة، ومن جهة ثانية الدور المغيب للرسل والأنبياء خلال تلكم </w:t>
      </w:r>
      <w:proofErr w:type="spellStart"/>
      <w:r w:rsidR="004F5A8C">
        <w:rPr>
          <w:rFonts w:ascii="Traditional Arabic" w:hAnsi="Traditional Arabic" w:cs="Traditional Arabic" w:hint="cs"/>
          <w:sz w:val="30"/>
          <w:szCs w:val="30"/>
          <w:rtl/>
        </w:rPr>
        <w:t>الحقبات</w:t>
      </w:r>
      <w:proofErr w:type="spellEnd"/>
      <w:r w:rsidR="004F5A8C">
        <w:rPr>
          <w:rFonts w:ascii="Traditional Arabic" w:hAnsi="Traditional Arabic" w:cs="Traditional Arabic" w:hint="cs"/>
          <w:sz w:val="30"/>
          <w:szCs w:val="30"/>
          <w:rtl/>
        </w:rPr>
        <w:t xml:space="preserve"> الزمنية للحضارات المتوالية.</w:t>
      </w:r>
      <w:r w:rsidR="00A65A1F" w:rsidRPr="00A65A1F">
        <w:rPr>
          <w:rFonts w:ascii="Traditional Arabic" w:hAnsi="Traditional Arabic" w:cs="Traditional Arabic" w:hint="cs"/>
          <w:sz w:val="30"/>
          <w:szCs w:val="30"/>
          <w:rtl/>
        </w:rPr>
        <w:t xml:space="preserve"> </w:t>
      </w:r>
      <w:r w:rsidR="00A65A1F" w:rsidRPr="000F3F2D">
        <w:rPr>
          <w:rFonts w:ascii="Traditional Arabic" w:hAnsi="Traditional Arabic" w:cs="Traditional Arabic" w:hint="cs"/>
          <w:sz w:val="30"/>
          <w:szCs w:val="30"/>
          <w:rtl/>
        </w:rPr>
        <w:t>(1.5ن)</w:t>
      </w:r>
    </w:p>
    <w:p w14:paraId="2EE4F366" w14:textId="13D7B3C8" w:rsidR="00872A63" w:rsidRPr="000F3F2D" w:rsidRDefault="00872A63" w:rsidP="00872A63">
      <w:pPr>
        <w:numPr>
          <w:ilvl w:val="0"/>
          <w:numId w:val="1"/>
        </w:numPr>
        <w:bidi/>
        <w:spacing w:after="0"/>
        <w:ind w:left="424"/>
        <w:jc w:val="both"/>
        <w:rPr>
          <w:rFonts w:ascii="Traditional Arabic" w:hAnsi="Traditional Arabic" w:cs="Traditional Arabic"/>
          <w:sz w:val="30"/>
          <w:szCs w:val="30"/>
        </w:rPr>
      </w:pPr>
      <w:r w:rsidRPr="000F3F2D">
        <w:rPr>
          <w:rFonts w:ascii="Traditional Arabic" w:hAnsi="Traditional Arabic" w:cs="Traditional Arabic" w:hint="cs"/>
          <w:sz w:val="30"/>
          <w:szCs w:val="30"/>
          <w:rtl/>
        </w:rPr>
        <w:t xml:space="preserve">(خطأ) </w:t>
      </w:r>
    </w:p>
    <w:p w14:paraId="205A633A" w14:textId="4B6CB64C" w:rsidR="00872A63" w:rsidRPr="000F3F2D" w:rsidRDefault="00A65A1F" w:rsidP="00872A63">
      <w:pPr>
        <w:pStyle w:val="a6"/>
        <w:numPr>
          <w:ilvl w:val="0"/>
          <w:numId w:val="2"/>
        </w:numPr>
        <w:bidi/>
        <w:spacing w:after="0"/>
        <w:jc w:val="both"/>
        <w:rPr>
          <w:rFonts w:ascii="Traditional Arabic" w:hAnsi="Traditional Arabic" w:cs="Traditional Arabic"/>
          <w:sz w:val="30"/>
          <w:szCs w:val="30"/>
        </w:rPr>
      </w:pPr>
      <w:r>
        <w:rPr>
          <w:rFonts w:ascii="Traditional Arabic" w:hAnsi="Traditional Arabic" w:cs="Traditional Arabic" w:hint="cs"/>
          <w:sz w:val="30"/>
          <w:szCs w:val="30"/>
          <w:rtl/>
        </w:rPr>
        <w:t xml:space="preserve">يعد قانون </w:t>
      </w:r>
      <w:r w:rsidR="00872A63" w:rsidRPr="000F3F2D">
        <w:rPr>
          <w:rFonts w:ascii="Traditional Arabic" w:hAnsi="Traditional Arabic" w:cs="Traditional Arabic"/>
          <w:sz w:val="30"/>
          <w:szCs w:val="30"/>
          <w:rtl/>
        </w:rPr>
        <w:t>حموراب</w:t>
      </w:r>
      <w:r>
        <w:rPr>
          <w:rFonts w:ascii="Traditional Arabic" w:hAnsi="Traditional Arabic" w:cs="Traditional Arabic" w:hint="cs"/>
          <w:sz w:val="30"/>
          <w:szCs w:val="30"/>
          <w:rtl/>
        </w:rPr>
        <w:t>ي أبرز مثال على التدوين وما تضمنه من قواعد مكتوبة إلى جانب العرف، إضافة على العديد من القوانين التي عرفتها تلكم الحقبة نذكر منها: قانون "</w:t>
      </w:r>
      <w:proofErr w:type="spellStart"/>
      <w:r>
        <w:rPr>
          <w:rFonts w:ascii="Traditional Arabic" w:hAnsi="Traditional Arabic" w:cs="Traditional Arabic" w:hint="cs"/>
          <w:sz w:val="30"/>
          <w:szCs w:val="30"/>
          <w:rtl/>
        </w:rPr>
        <w:t>أورنامو</w:t>
      </w:r>
      <w:proofErr w:type="spellEnd"/>
      <w:r>
        <w:rPr>
          <w:rFonts w:ascii="Traditional Arabic" w:hAnsi="Traditional Arabic" w:cs="Traditional Arabic" w:hint="cs"/>
          <w:sz w:val="30"/>
          <w:szCs w:val="30"/>
          <w:rtl/>
        </w:rPr>
        <w:t xml:space="preserve">"، "إصلاحات </w:t>
      </w:r>
      <w:proofErr w:type="spellStart"/>
      <w:r>
        <w:rPr>
          <w:rFonts w:ascii="Traditional Arabic" w:hAnsi="Traditional Arabic" w:cs="Traditional Arabic" w:hint="cs"/>
          <w:sz w:val="30"/>
          <w:szCs w:val="30"/>
          <w:rtl/>
        </w:rPr>
        <w:t>أوروكاجينيا</w:t>
      </w:r>
      <w:proofErr w:type="spellEnd"/>
      <w:r>
        <w:rPr>
          <w:rFonts w:ascii="Traditional Arabic" w:hAnsi="Traditional Arabic" w:cs="Traditional Arabic" w:hint="cs"/>
          <w:sz w:val="30"/>
          <w:szCs w:val="30"/>
          <w:rtl/>
        </w:rPr>
        <w:t xml:space="preserve">"، قانون "لبت </w:t>
      </w:r>
      <w:proofErr w:type="spellStart"/>
      <w:r>
        <w:rPr>
          <w:rFonts w:ascii="Traditional Arabic" w:hAnsi="Traditional Arabic" w:cs="Traditional Arabic" w:hint="cs"/>
          <w:sz w:val="30"/>
          <w:szCs w:val="30"/>
          <w:rtl/>
        </w:rPr>
        <w:t>عشتر</w:t>
      </w:r>
      <w:proofErr w:type="spellEnd"/>
      <w:r>
        <w:rPr>
          <w:rFonts w:ascii="Traditional Arabic" w:hAnsi="Traditional Arabic" w:cs="Traditional Arabic" w:hint="cs"/>
          <w:sz w:val="30"/>
          <w:szCs w:val="30"/>
          <w:rtl/>
        </w:rPr>
        <w:t xml:space="preserve">"...الخ، كلها ساهمت إلى جانب العرف في تكريس </w:t>
      </w:r>
      <w:r w:rsidR="002C72F1">
        <w:rPr>
          <w:rFonts w:ascii="Traditional Arabic" w:hAnsi="Traditional Arabic" w:cs="Traditional Arabic" w:hint="cs"/>
          <w:sz w:val="30"/>
          <w:szCs w:val="30"/>
          <w:rtl/>
        </w:rPr>
        <w:t xml:space="preserve">النظام </w:t>
      </w:r>
      <w:proofErr w:type="gramStart"/>
      <w:r w:rsidR="002C72F1">
        <w:rPr>
          <w:rFonts w:ascii="Traditional Arabic" w:hAnsi="Traditional Arabic" w:cs="Traditional Arabic" w:hint="cs"/>
          <w:sz w:val="30"/>
          <w:szCs w:val="30"/>
          <w:rtl/>
        </w:rPr>
        <w:t>القانوني.</w:t>
      </w:r>
      <w:r w:rsidRPr="000F3F2D">
        <w:rPr>
          <w:rFonts w:ascii="Traditional Arabic" w:hAnsi="Traditional Arabic" w:cs="Traditional Arabic" w:hint="cs"/>
          <w:sz w:val="30"/>
          <w:szCs w:val="30"/>
          <w:rtl/>
        </w:rPr>
        <w:t>(</w:t>
      </w:r>
      <w:proofErr w:type="gramEnd"/>
      <w:r w:rsidRPr="000F3F2D">
        <w:rPr>
          <w:rFonts w:ascii="Traditional Arabic" w:hAnsi="Traditional Arabic" w:cs="Traditional Arabic" w:hint="cs"/>
          <w:sz w:val="30"/>
          <w:szCs w:val="30"/>
          <w:rtl/>
        </w:rPr>
        <w:t>1.5ن)</w:t>
      </w:r>
    </w:p>
    <w:p w14:paraId="469D7360" w14:textId="51A3776B" w:rsidR="00872A63" w:rsidRPr="000F3F2D" w:rsidRDefault="00872A63" w:rsidP="00872A63">
      <w:pPr>
        <w:numPr>
          <w:ilvl w:val="0"/>
          <w:numId w:val="1"/>
        </w:numPr>
        <w:bidi/>
        <w:spacing w:after="0"/>
        <w:ind w:left="424"/>
        <w:jc w:val="both"/>
        <w:rPr>
          <w:rFonts w:ascii="Traditional Arabic" w:hAnsi="Traditional Arabic" w:cs="Traditional Arabic"/>
          <w:sz w:val="30"/>
          <w:szCs w:val="30"/>
        </w:rPr>
      </w:pPr>
      <w:r w:rsidRPr="000F3F2D">
        <w:rPr>
          <w:rFonts w:ascii="Traditional Arabic" w:hAnsi="Traditional Arabic" w:cs="Traditional Arabic" w:hint="cs"/>
          <w:sz w:val="30"/>
          <w:szCs w:val="30"/>
          <w:rtl/>
        </w:rPr>
        <w:t xml:space="preserve">(خطأ) </w:t>
      </w:r>
    </w:p>
    <w:p w14:paraId="215FF268" w14:textId="36306B85" w:rsidR="00872A63" w:rsidRPr="000F3F2D" w:rsidRDefault="00872A63" w:rsidP="00872A63">
      <w:pPr>
        <w:pStyle w:val="a6"/>
        <w:numPr>
          <w:ilvl w:val="0"/>
          <w:numId w:val="2"/>
        </w:numPr>
        <w:bidi/>
        <w:spacing w:after="0"/>
        <w:jc w:val="both"/>
        <w:rPr>
          <w:rFonts w:ascii="Traditional Arabic" w:hAnsi="Traditional Arabic" w:cs="Traditional Arabic"/>
          <w:sz w:val="30"/>
          <w:szCs w:val="30"/>
        </w:rPr>
      </w:pPr>
      <w:r w:rsidRPr="000F3F2D">
        <w:rPr>
          <w:rFonts w:ascii="Traditional Arabic" w:hAnsi="Traditional Arabic" w:cs="Traditional Arabic"/>
          <w:sz w:val="30"/>
          <w:szCs w:val="30"/>
          <w:rtl/>
        </w:rPr>
        <w:t xml:space="preserve">قانون حمورابي </w:t>
      </w:r>
      <w:r w:rsidR="00A65A1F">
        <w:rPr>
          <w:rFonts w:ascii="Traditional Arabic" w:hAnsi="Traditional Arabic" w:cs="Traditional Arabic" w:hint="cs"/>
          <w:sz w:val="30"/>
          <w:szCs w:val="30"/>
          <w:rtl/>
        </w:rPr>
        <w:t xml:space="preserve">قانون اجتماعي بالأصل، </w:t>
      </w:r>
      <w:r w:rsidRPr="000F3F2D">
        <w:rPr>
          <w:rFonts w:ascii="Traditional Arabic" w:hAnsi="Traditional Arabic" w:cs="Traditional Arabic"/>
          <w:sz w:val="30"/>
          <w:szCs w:val="30"/>
          <w:rtl/>
        </w:rPr>
        <w:t xml:space="preserve">نظم </w:t>
      </w:r>
      <w:r w:rsidR="00A65A1F" w:rsidRPr="000F3F2D">
        <w:rPr>
          <w:rFonts w:ascii="Traditional Arabic" w:hAnsi="Traditional Arabic" w:cs="Traditional Arabic"/>
          <w:sz w:val="30"/>
          <w:szCs w:val="30"/>
          <w:rtl/>
        </w:rPr>
        <w:t>إلى جانب الجرائم والعقوبا</w:t>
      </w:r>
      <w:r w:rsidR="00A65A1F">
        <w:rPr>
          <w:rFonts w:ascii="Traditional Arabic" w:hAnsi="Traditional Arabic" w:cs="Traditional Arabic" w:hint="cs"/>
          <w:sz w:val="30"/>
          <w:szCs w:val="30"/>
          <w:rtl/>
        </w:rPr>
        <w:t xml:space="preserve">ت العلاقات الأسرية من خلال قواعد: </w:t>
      </w:r>
      <w:r w:rsidRPr="000F3F2D">
        <w:rPr>
          <w:rFonts w:ascii="Traditional Arabic" w:hAnsi="Traditional Arabic" w:cs="Traditional Arabic"/>
          <w:sz w:val="30"/>
          <w:szCs w:val="30"/>
          <w:rtl/>
        </w:rPr>
        <w:t>الزواج، التبني، الملكية، التجارة</w:t>
      </w:r>
      <w:r w:rsidR="00A65A1F">
        <w:rPr>
          <w:rFonts w:ascii="Traditional Arabic" w:hAnsi="Traditional Arabic" w:cs="Traditional Arabic" w:hint="cs"/>
          <w:sz w:val="30"/>
          <w:szCs w:val="30"/>
          <w:rtl/>
        </w:rPr>
        <w:t>...الخ</w:t>
      </w:r>
      <w:r w:rsidR="002C72F1">
        <w:rPr>
          <w:rFonts w:ascii="Traditional Arabic" w:hAnsi="Traditional Arabic" w:cs="Traditional Arabic" w:hint="cs"/>
          <w:sz w:val="30"/>
          <w:szCs w:val="30"/>
          <w:rtl/>
        </w:rPr>
        <w:t xml:space="preserve">، فقد عمد حمورابي إضافة إلى تدوين الأعراف السائدة العمل على تنقيحها وتطويرها خاصة في مجال المعاملات، العقوبات والمسؤولية. </w:t>
      </w:r>
      <w:proofErr w:type="gramStart"/>
      <w:r w:rsidR="00A65A1F" w:rsidRPr="000F3F2D">
        <w:rPr>
          <w:rFonts w:ascii="Traditional Arabic" w:hAnsi="Traditional Arabic" w:cs="Traditional Arabic" w:hint="cs"/>
          <w:sz w:val="30"/>
          <w:szCs w:val="30"/>
          <w:rtl/>
        </w:rPr>
        <w:t>(</w:t>
      </w:r>
      <w:proofErr w:type="gramEnd"/>
      <w:r w:rsidR="00A65A1F" w:rsidRPr="000F3F2D">
        <w:rPr>
          <w:rFonts w:ascii="Traditional Arabic" w:hAnsi="Traditional Arabic" w:cs="Traditional Arabic" w:hint="cs"/>
          <w:sz w:val="30"/>
          <w:szCs w:val="30"/>
          <w:rtl/>
        </w:rPr>
        <w:t>1.5ن)</w:t>
      </w:r>
    </w:p>
    <w:p w14:paraId="78E35306" w14:textId="77777777" w:rsidR="00872A63" w:rsidRPr="000F3F2D" w:rsidRDefault="00872A63" w:rsidP="00872A63">
      <w:pPr>
        <w:pStyle w:val="a6"/>
        <w:numPr>
          <w:ilvl w:val="0"/>
          <w:numId w:val="1"/>
        </w:numPr>
        <w:bidi/>
        <w:spacing w:after="0"/>
        <w:ind w:left="424"/>
        <w:jc w:val="both"/>
        <w:rPr>
          <w:rFonts w:ascii="Traditional Arabic" w:hAnsi="Traditional Arabic" w:cs="Traditional Arabic"/>
          <w:sz w:val="30"/>
          <w:szCs w:val="30"/>
        </w:rPr>
      </w:pPr>
      <w:r w:rsidRPr="000F3F2D">
        <w:rPr>
          <w:rFonts w:ascii="Traditional Arabic" w:hAnsi="Traditional Arabic" w:cs="Traditional Arabic"/>
          <w:sz w:val="30"/>
          <w:szCs w:val="30"/>
          <w:rtl/>
        </w:rPr>
        <w:t>يُعتبر قانون حمورابي من أقدم مدونات القانون المكتوبة التي تناولت تنظيم شؤون المجتمع بمختلف أبعاده الاقتصادية والاجتماعية</w:t>
      </w:r>
      <w:r w:rsidRPr="000F3F2D">
        <w:rPr>
          <w:rFonts w:ascii="Traditional Arabic" w:hAnsi="Traditional Arabic" w:cs="Traditional Arabic" w:hint="cs"/>
          <w:sz w:val="30"/>
          <w:szCs w:val="30"/>
          <w:rtl/>
        </w:rPr>
        <w:t>. (صح) (1ن)</w:t>
      </w:r>
    </w:p>
    <w:p w14:paraId="43F505D0" w14:textId="77777777" w:rsidR="00872A63" w:rsidRPr="000F3F2D" w:rsidRDefault="00872A63" w:rsidP="00872A63">
      <w:pPr>
        <w:pStyle w:val="a6"/>
        <w:numPr>
          <w:ilvl w:val="0"/>
          <w:numId w:val="1"/>
        </w:numPr>
        <w:bidi/>
        <w:ind w:left="424"/>
        <w:jc w:val="both"/>
        <w:rPr>
          <w:rFonts w:ascii="Traditional Arabic" w:hAnsi="Traditional Arabic" w:cs="Traditional Arabic"/>
          <w:sz w:val="30"/>
          <w:szCs w:val="30"/>
        </w:rPr>
      </w:pPr>
      <w:r w:rsidRPr="000F3F2D">
        <w:rPr>
          <w:rFonts w:ascii="Traditional Arabic" w:hAnsi="Traditional Arabic" w:cs="Traditional Arabic"/>
          <w:sz w:val="30"/>
          <w:szCs w:val="30"/>
          <w:rtl/>
        </w:rPr>
        <w:t>نظم قانون حمورابي الزواج والتبني بطريقة قانونية دقيقة، مما يعكس تعقيد البنية الاجتماعية والاقتصادية للمجتمع البابلي</w:t>
      </w:r>
      <w:r w:rsidRPr="000F3F2D">
        <w:rPr>
          <w:rFonts w:ascii="Traditional Arabic" w:hAnsi="Traditional Arabic" w:cs="Traditional Arabic" w:hint="cs"/>
          <w:sz w:val="30"/>
          <w:szCs w:val="30"/>
          <w:rtl/>
        </w:rPr>
        <w:t>. (صح) (1ن)</w:t>
      </w:r>
    </w:p>
    <w:p w14:paraId="29ECE77D" w14:textId="77777777" w:rsidR="00872A63" w:rsidRPr="000F3F2D" w:rsidRDefault="00872A63" w:rsidP="00872A63">
      <w:pPr>
        <w:pStyle w:val="a6"/>
        <w:numPr>
          <w:ilvl w:val="0"/>
          <w:numId w:val="1"/>
        </w:numPr>
        <w:bidi/>
        <w:ind w:left="424"/>
        <w:jc w:val="both"/>
        <w:rPr>
          <w:rFonts w:ascii="Traditional Arabic" w:hAnsi="Traditional Arabic" w:cs="Traditional Arabic"/>
          <w:sz w:val="30"/>
          <w:szCs w:val="30"/>
        </w:rPr>
      </w:pPr>
      <w:r w:rsidRPr="000F3F2D">
        <w:rPr>
          <w:rFonts w:ascii="Traditional Arabic" w:hAnsi="Traditional Arabic" w:cs="Traditional Arabic"/>
          <w:sz w:val="30"/>
          <w:szCs w:val="30"/>
          <w:rtl/>
        </w:rPr>
        <w:t>اتسم النظام الإداري في مصر القديمة بالهيكلية الهرمية، حيث كان الفرعون يشغل القمة باعتباره السلطة العليا سياسيًا ودينيًا</w:t>
      </w:r>
      <w:r w:rsidRPr="000F3F2D">
        <w:rPr>
          <w:rFonts w:ascii="Traditional Arabic" w:hAnsi="Traditional Arabic" w:cs="Traditional Arabic" w:hint="cs"/>
          <w:sz w:val="30"/>
          <w:szCs w:val="30"/>
          <w:rtl/>
        </w:rPr>
        <w:t>. (صح) (1.5ن)</w:t>
      </w:r>
    </w:p>
    <w:p w14:paraId="0079619C" w14:textId="77777777" w:rsidR="00872A63" w:rsidRPr="000F3F2D" w:rsidRDefault="00872A63" w:rsidP="00872A63">
      <w:pPr>
        <w:pStyle w:val="a6"/>
        <w:numPr>
          <w:ilvl w:val="0"/>
          <w:numId w:val="1"/>
        </w:numPr>
        <w:bidi/>
        <w:ind w:left="424"/>
        <w:jc w:val="both"/>
        <w:rPr>
          <w:rFonts w:ascii="Traditional Arabic" w:hAnsi="Traditional Arabic" w:cs="Traditional Arabic"/>
          <w:sz w:val="30"/>
          <w:szCs w:val="30"/>
        </w:rPr>
      </w:pPr>
      <w:r w:rsidRPr="000F3F2D">
        <w:rPr>
          <w:rFonts w:ascii="Traditional Arabic" w:hAnsi="Traditional Arabic" w:cs="Traditional Arabic"/>
          <w:sz w:val="30"/>
          <w:szCs w:val="30"/>
          <w:rtl/>
        </w:rPr>
        <w:t>استندت الحضارة الفرعونية في وضع قواعدها القانونية على مزيج من العرف والدين، وكان الفرعون مصدرًا أساسيًا للقانون ومُكلفًا بتطبيقه</w:t>
      </w:r>
      <w:r w:rsidRPr="000F3F2D">
        <w:rPr>
          <w:rFonts w:ascii="Traditional Arabic" w:hAnsi="Traditional Arabic" w:cs="Traditional Arabic" w:hint="cs"/>
          <w:sz w:val="30"/>
          <w:szCs w:val="30"/>
          <w:rtl/>
        </w:rPr>
        <w:t>. (صح) (1.5ن)</w:t>
      </w:r>
    </w:p>
    <w:p w14:paraId="4BA23DD1" w14:textId="77777777" w:rsidR="00872A63" w:rsidRPr="000F3F2D" w:rsidRDefault="00872A63" w:rsidP="00872A63">
      <w:pPr>
        <w:pStyle w:val="a6"/>
        <w:numPr>
          <w:ilvl w:val="0"/>
          <w:numId w:val="1"/>
        </w:numPr>
        <w:bidi/>
        <w:ind w:left="424"/>
        <w:jc w:val="both"/>
        <w:rPr>
          <w:rFonts w:ascii="Traditional Arabic" w:hAnsi="Traditional Arabic" w:cs="Traditional Arabic"/>
          <w:sz w:val="30"/>
          <w:szCs w:val="30"/>
        </w:rPr>
      </w:pPr>
      <w:r w:rsidRPr="000F3F2D">
        <w:rPr>
          <w:rFonts w:ascii="Traditional Arabic" w:hAnsi="Traditional Arabic" w:cs="Traditional Arabic"/>
          <w:sz w:val="30"/>
          <w:szCs w:val="30"/>
          <w:rtl/>
        </w:rPr>
        <w:t xml:space="preserve">اعتمد قانون </w:t>
      </w:r>
      <w:r w:rsidRPr="000F3F2D">
        <w:rPr>
          <w:rFonts w:ascii="Traditional Arabic" w:hAnsi="Traditional Arabic" w:cs="Traditional Arabic" w:hint="cs"/>
          <w:sz w:val="30"/>
          <w:szCs w:val="30"/>
          <w:rtl/>
        </w:rPr>
        <w:t>"</w:t>
      </w:r>
      <w:proofErr w:type="spellStart"/>
      <w:r w:rsidRPr="000F3F2D">
        <w:rPr>
          <w:rFonts w:ascii="Traditional Arabic" w:hAnsi="Traditional Arabic" w:cs="Traditional Arabic"/>
          <w:sz w:val="30"/>
          <w:szCs w:val="30"/>
          <w:rtl/>
        </w:rPr>
        <w:t>صولون</w:t>
      </w:r>
      <w:proofErr w:type="spellEnd"/>
      <w:r w:rsidRPr="000F3F2D">
        <w:rPr>
          <w:rFonts w:ascii="Traditional Arabic" w:hAnsi="Traditional Arabic" w:cs="Traditional Arabic" w:hint="cs"/>
          <w:sz w:val="30"/>
          <w:szCs w:val="30"/>
          <w:rtl/>
        </w:rPr>
        <w:t>"</w:t>
      </w:r>
      <w:r w:rsidRPr="000F3F2D">
        <w:rPr>
          <w:rFonts w:ascii="Traditional Arabic" w:hAnsi="Traditional Arabic" w:cs="Traditional Arabic"/>
          <w:sz w:val="30"/>
          <w:szCs w:val="30"/>
          <w:rtl/>
        </w:rPr>
        <w:t xml:space="preserve"> في تصنيف المواطنين في أثينا على أساس الثروة والدخل، مبتعدًا عن التصنيف الأرستقراطي التقليدي المبني على النسب فقط</w:t>
      </w:r>
      <w:r w:rsidRPr="000F3F2D">
        <w:rPr>
          <w:rFonts w:ascii="Traditional Arabic" w:hAnsi="Traditional Arabic" w:cs="Traditional Arabic" w:hint="cs"/>
          <w:sz w:val="30"/>
          <w:szCs w:val="30"/>
          <w:rtl/>
        </w:rPr>
        <w:t>. (صح) (1.5ن)</w:t>
      </w:r>
    </w:p>
    <w:p w14:paraId="2A2A51D8" w14:textId="77777777" w:rsidR="00872A63" w:rsidRPr="000F3F2D" w:rsidRDefault="00872A63" w:rsidP="00872A63">
      <w:pPr>
        <w:pStyle w:val="a6"/>
        <w:numPr>
          <w:ilvl w:val="0"/>
          <w:numId w:val="1"/>
        </w:numPr>
        <w:tabs>
          <w:tab w:val="right" w:pos="566"/>
          <w:tab w:val="right" w:pos="991"/>
        </w:tabs>
        <w:bidi/>
        <w:ind w:left="424"/>
        <w:jc w:val="both"/>
        <w:rPr>
          <w:rFonts w:ascii="Traditional Arabic" w:hAnsi="Traditional Arabic" w:cs="Traditional Arabic"/>
          <w:sz w:val="30"/>
          <w:szCs w:val="30"/>
        </w:rPr>
      </w:pPr>
      <w:r w:rsidRPr="000F3F2D">
        <w:rPr>
          <w:rFonts w:ascii="Traditional Arabic" w:hAnsi="Traditional Arabic" w:cs="Traditional Arabic"/>
          <w:sz w:val="30"/>
          <w:szCs w:val="30"/>
          <w:rtl/>
        </w:rPr>
        <w:t>لم يكن للعبيد في اليونان القديمة أي شخصية قانونية، وكان يُنظر إليهم من الناحية القانونية على أنهم ممتلكات تُباع وتشترى</w:t>
      </w:r>
      <w:r w:rsidRPr="000F3F2D">
        <w:rPr>
          <w:rFonts w:ascii="Traditional Arabic" w:hAnsi="Traditional Arabic" w:cs="Traditional Arabic" w:hint="cs"/>
          <w:sz w:val="30"/>
          <w:szCs w:val="30"/>
          <w:rtl/>
        </w:rPr>
        <w:t>. (صح) (1.5ن)</w:t>
      </w:r>
    </w:p>
    <w:p w14:paraId="3492A562" w14:textId="77777777" w:rsidR="00872A63" w:rsidRPr="000F3F2D" w:rsidRDefault="00872A63" w:rsidP="00872A63">
      <w:pPr>
        <w:pStyle w:val="a6"/>
        <w:numPr>
          <w:ilvl w:val="0"/>
          <w:numId w:val="1"/>
        </w:numPr>
        <w:tabs>
          <w:tab w:val="right" w:pos="566"/>
          <w:tab w:val="right" w:pos="991"/>
        </w:tabs>
        <w:bidi/>
        <w:ind w:left="424"/>
        <w:jc w:val="both"/>
        <w:rPr>
          <w:rFonts w:ascii="Traditional Arabic" w:hAnsi="Traditional Arabic" w:cs="Traditional Arabic"/>
          <w:sz w:val="30"/>
          <w:szCs w:val="30"/>
        </w:rPr>
      </w:pPr>
      <w:r w:rsidRPr="000F3F2D">
        <w:rPr>
          <w:rFonts w:ascii="Traditional Arabic" w:hAnsi="Traditional Arabic" w:cs="Traditional Arabic"/>
          <w:sz w:val="30"/>
          <w:szCs w:val="30"/>
          <w:rtl/>
        </w:rPr>
        <w:t>مر القانون الروماني بمراحل تطور متعاقبة، أسهمت في توسيع نطاقه ودمج أساليب تنظيمية مختلفة</w:t>
      </w:r>
      <w:r w:rsidRPr="000F3F2D">
        <w:rPr>
          <w:rFonts w:ascii="Traditional Arabic" w:hAnsi="Traditional Arabic" w:cs="Traditional Arabic" w:hint="cs"/>
          <w:sz w:val="30"/>
          <w:szCs w:val="30"/>
          <w:rtl/>
        </w:rPr>
        <w:t>. (صح) (1ن)</w:t>
      </w:r>
    </w:p>
    <w:p w14:paraId="78DF793D" w14:textId="77777777" w:rsidR="00872A63" w:rsidRPr="000F3F2D" w:rsidRDefault="00872A63" w:rsidP="00872A63">
      <w:pPr>
        <w:pStyle w:val="a6"/>
        <w:numPr>
          <w:ilvl w:val="0"/>
          <w:numId w:val="1"/>
        </w:numPr>
        <w:tabs>
          <w:tab w:val="right" w:pos="566"/>
          <w:tab w:val="right" w:pos="991"/>
        </w:tabs>
        <w:bidi/>
        <w:ind w:left="424"/>
        <w:jc w:val="both"/>
        <w:rPr>
          <w:rFonts w:ascii="Traditional Arabic" w:hAnsi="Traditional Arabic" w:cs="Traditional Arabic"/>
          <w:sz w:val="30"/>
          <w:szCs w:val="30"/>
        </w:rPr>
      </w:pPr>
      <w:r w:rsidRPr="000F3F2D">
        <w:rPr>
          <w:rFonts w:ascii="Traditional Arabic" w:hAnsi="Traditional Arabic" w:cs="Traditional Arabic"/>
          <w:sz w:val="30"/>
          <w:szCs w:val="30"/>
          <w:rtl/>
        </w:rPr>
        <w:t>تبرز مصادر القانون الروماني في التشريعات المكتوبة، والعرف، وقرارات المجالس الشعبية، والاجتهادات القانونية للفقهاء الرومان</w:t>
      </w:r>
      <w:r w:rsidRPr="000F3F2D">
        <w:rPr>
          <w:rFonts w:ascii="Traditional Arabic" w:hAnsi="Traditional Arabic" w:cs="Traditional Arabic" w:hint="cs"/>
          <w:sz w:val="30"/>
          <w:szCs w:val="30"/>
          <w:rtl/>
        </w:rPr>
        <w:t>. (صح) (1ن)</w:t>
      </w:r>
    </w:p>
    <w:p w14:paraId="303B14CB" w14:textId="77777777" w:rsidR="00872A63" w:rsidRPr="000F3F2D" w:rsidRDefault="00872A63" w:rsidP="00872A63">
      <w:pPr>
        <w:pStyle w:val="a6"/>
        <w:numPr>
          <w:ilvl w:val="0"/>
          <w:numId w:val="1"/>
        </w:numPr>
        <w:tabs>
          <w:tab w:val="right" w:pos="566"/>
          <w:tab w:val="right" w:pos="991"/>
        </w:tabs>
        <w:bidi/>
        <w:ind w:left="424"/>
        <w:jc w:val="both"/>
        <w:rPr>
          <w:rFonts w:ascii="Traditional Arabic" w:hAnsi="Traditional Arabic" w:cs="Traditional Arabic"/>
          <w:sz w:val="30"/>
          <w:szCs w:val="30"/>
        </w:rPr>
      </w:pPr>
      <w:r w:rsidRPr="000F3F2D">
        <w:rPr>
          <w:rFonts w:ascii="Traditional Arabic" w:hAnsi="Traditional Arabic" w:cs="Traditional Arabic"/>
          <w:sz w:val="30"/>
          <w:szCs w:val="30"/>
          <w:rtl/>
        </w:rPr>
        <w:t>اعتمدت الحضارة الإسلامية على نظام تشريعي متكامل، جمع بين تنظيم شؤون الحكم والقضاء والمعاملات وفق الشريعة الإسلامية</w:t>
      </w:r>
      <w:r w:rsidRPr="000F3F2D">
        <w:rPr>
          <w:rFonts w:ascii="Traditional Arabic" w:hAnsi="Traditional Arabic" w:cs="Traditional Arabic" w:hint="cs"/>
          <w:sz w:val="30"/>
          <w:szCs w:val="30"/>
          <w:rtl/>
        </w:rPr>
        <w:t>. (صح) (2ن)</w:t>
      </w:r>
    </w:p>
    <w:p w14:paraId="65997E7E" w14:textId="77777777" w:rsidR="00872A63" w:rsidRPr="000F3F2D" w:rsidRDefault="00872A63" w:rsidP="00872A63">
      <w:pPr>
        <w:pStyle w:val="a6"/>
        <w:numPr>
          <w:ilvl w:val="0"/>
          <w:numId w:val="1"/>
        </w:numPr>
        <w:tabs>
          <w:tab w:val="right" w:pos="474"/>
          <w:tab w:val="right" w:pos="991"/>
        </w:tabs>
        <w:bidi/>
        <w:ind w:left="424" w:hanging="375"/>
        <w:jc w:val="both"/>
        <w:rPr>
          <w:sz w:val="30"/>
          <w:szCs w:val="30"/>
        </w:rPr>
      </w:pPr>
      <w:r w:rsidRPr="000F3F2D">
        <w:rPr>
          <w:rFonts w:ascii="Traditional Arabic" w:hAnsi="Traditional Arabic" w:cs="Traditional Arabic"/>
          <w:sz w:val="30"/>
          <w:szCs w:val="30"/>
          <w:rtl/>
        </w:rPr>
        <w:t>تتميز التشريعات الإسلامية بالشمولية، إذ نظمت جميع جوانب الحياة الدينية والدنيوية استنادًا إلى مصادر شرعية محددة ومعروفة</w:t>
      </w:r>
      <w:r w:rsidRPr="000F3F2D">
        <w:rPr>
          <w:rFonts w:ascii="Traditional Arabic" w:hAnsi="Traditional Arabic" w:cs="Traditional Arabic" w:hint="cs"/>
          <w:sz w:val="30"/>
          <w:szCs w:val="30"/>
          <w:rtl/>
        </w:rPr>
        <w:t>. (صح) (2ن)</w:t>
      </w:r>
    </w:p>
    <w:p w14:paraId="535E4B6D" w14:textId="77777777" w:rsidR="00C0085E" w:rsidRDefault="00C0085E" w:rsidP="00872A63">
      <w:pPr>
        <w:jc w:val="right"/>
      </w:pPr>
    </w:p>
    <w:sectPr w:rsidR="00C0085E" w:rsidSect="00A65A1F">
      <w:pgSz w:w="12240" w:h="15840"/>
      <w:pgMar w:top="340" w:right="333" w:bottom="284" w:left="284"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46B"/>
    <w:multiLevelType w:val="hybridMultilevel"/>
    <w:tmpl w:val="F5CC5962"/>
    <w:lvl w:ilvl="0" w:tplc="229283F0">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CA0E93"/>
    <w:multiLevelType w:val="hybridMultilevel"/>
    <w:tmpl w:val="8FD09B9C"/>
    <w:lvl w:ilvl="0" w:tplc="6062E976">
      <w:start w:val="1"/>
      <w:numFmt w:val="decimal"/>
      <w:lvlText w:val="%1."/>
      <w:lvlJc w:val="left"/>
      <w:pPr>
        <w:ind w:left="720" w:hanging="360"/>
      </w:pPr>
      <w:rPr>
        <w:rFonts w:ascii="Traditional Arabic" w:hAnsi="Traditional Arabic" w:cs="Traditional Arabic" w:hint="default"/>
        <w:b/>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58947603">
    <w:abstractNumId w:val="1"/>
  </w:num>
  <w:num w:numId="2" w16cid:durableId="189596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63"/>
    <w:rsid w:val="002C72F1"/>
    <w:rsid w:val="00390A15"/>
    <w:rsid w:val="004F5A8C"/>
    <w:rsid w:val="00711E32"/>
    <w:rsid w:val="00872A63"/>
    <w:rsid w:val="00A65A1F"/>
    <w:rsid w:val="00C00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45CD"/>
  <w15:chartTrackingRefBased/>
  <w15:docId w15:val="{33749678-2FD9-4B74-963E-AE0D99E6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A63"/>
    <w:rPr>
      <w:lang w:val="fr-FR"/>
    </w:rPr>
  </w:style>
  <w:style w:type="paragraph" w:styleId="1">
    <w:name w:val="heading 1"/>
    <w:basedOn w:val="a"/>
    <w:next w:val="a"/>
    <w:link w:val="1Char"/>
    <w:uiPriority w:val="9"/>
    <w:qFormat/>
    <w:rsid w:val="00872A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72A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72A6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72A6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72A6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72A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72A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72A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72A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72A6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72A6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72A6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72A6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72A63"/>
    <w:rPr>
      <w:rFonts w:eastAsiaTheme="majorEastAsia" w:cstheme="majorBidi"/>
      <w:color w:val="2F5496" w:themeColor="accent1" w:themeShade="BF"/>
    </w:rPr>
  </w:style>
  <w:style w:type="character" w:customStyle="1" w:styleId="6Char">
    <w:name w:val="عنوان 6 Char"/>
    <w:basedOn w:val="a0"/>
    <w:link w:val="6"/>
    <w:uiPriority w:val="9"/>
    <w:semiHidden/>
    <w:rsid w:val="00872A63"/>
    <w:rPr>
      <w:rFonts w:eastAsiaTheme="majorEastAsia" w:cstheme="majorBidi"/>
      <w:i/>
      <w:iCs/>
      <w:color w:val="595959" w:themeColor="text1" w:themeTint="A6"/>
    </w:rPr>
  </w:style>
  <w:style w:type="character" w:customStyle="1" w:styleId="7Char">
    <w:name w:val="عنوان 7 Char"/>
    <w:basedOn w:val="a0"/>
    <w:link w:val="7"/>
    <w:uiPriority w:val="9"/>
    <w:semiHidden/>
    <w:rsid w:val="00872A63"/>
    <w:rPr>
      <w:rFonts w:eastAsiaTheme="majorEastAsia" w:cstheme="majorBidi"/>
      <w:color w:val="595959" w:themeColor="text1" w:themeTint="A6"/>
    </w:rPr>
  </w:style>
  <w:style w:type="character" w:customStyle="1" w:styleId="8Char">
    <w:name w:val="عنوان 8 Char"/>
    <w:basedOn w:val="a0"/>
    <w:link w:val="8"/>
    <w:uiPriority w:val="9"/>
    <w:semiHidden/>
    <w:rsid w:val="00872A63"/>
    <w:rPr>
      <w:rFonts w:eastAsiaTheme="majorEastAsia" w:cstheme="majorBidi"/>
      <w:i/>
      <w:iCs/>
      <w:color w:val="272727" w:themeColor="text1" w:themeTint="D8"/>
    </w:rPr>
  </w:style>
  <w:style w:type="character" w:customStyle="1" w:styleId="9Char">
    <w:name w:val="عنوان 9 Char"/>
    <w:basedOn w:val="a0"/>
    <w:link w:val="9"/>
    <w:uiPriority w:val="9"/>
    <w:semiHidden/>
    <w:rsid w:val="00872A63"/>
    <w:rPr>
      <w:rFonts w:eastAsiaTheme="majorEastAsia" w:cstheme="majorBidi"/>
      <w:color w:val="272727" w:themeColor="text1" w:themeTint="D8"/>
    </w:rPr>
  </w:style>
  <w:style w:type="paragraph" w:styleId="a3">
    <w:name w:val="Title"/>
    <w:basedOn w:val="a"/>
    <w:next w:val="a"/>
    <w:link w:val="Char"/>
    <w:uiPriority w:val="10"/>
    <w:qFormat/>
    <w:rsid w:val="00872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72A6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72A6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72A6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72A63"/>
    <w:pPr>
      <w:spacing w:before="160"/>
      <w:jc w:val="center"/>
    </w:pPr>
    <w:rPr>
      <w:i/>
      <w:iCs/>
      <w:color w:val="404040" w:themeColor="text1" w:themeTint="BF"/>
    </w:rPr>
  </w:style>
  <w:style w:type="character" w:customStyle="1" w:styleId="Char1">
    <w:name w:val="اقتباس Char"/>
    <w:basedOn w:val="a0"/>
    <w:link w:val="a5"/>
    <w:uiPriority w:val="29"/>
    <w:rsid w:val="00872A63"/>
    <w:rPr>
      <w:i/>
      <w:iCs/>
      <w:color w:val="404040" w:themeColor="text1" w:themeTint="BF"/>
    </w:rPr>
  </w:style>
  <w:style w:type="paragraph" w:styleId="a6">
    <w:name w:val="List Paragraph"/>
    <w:basedOn w:val="a"/>
    <w:uiPriority w:val="34"/>
    <w:qFormat/>
    <w:rsid w:val="00872A63"/>
    <w:pPr>
      <w:ind w:left="720"/>
      <w:contextualSpacing/>
    </w:pPr>
  </w:style>
  <w:style w:type="character" w:styleId="a7">
    <w:name w:val="Intense Emphasis"/>
    <w:basedOn w:val="a0"/>
    <w:uiPriority w:val="21"/>
    <w:qFormat/>
    <w:rsid w:val="00872A63"/>
    <w:rPr>
      <w:i/>
      <w:iCs/>
      <w:color w:val="2F5496" w:themeColor="accent1" w:themeShade="BF"/>
    </w:rPr>
  </w:style>
  <w:style w:type="paragraph" w:styleId="a8">
    <w:name w:val="Intense Quote"/>
    <w:basedOn w:val="a"/>
    <w:next w:val="a"/>
    <w:link w:val="Char2"/>
    <w:uiPriority w:val="30"/>
    <w:qFormat/>
    <w:rsid w:val="00872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72A63"/>
    <w:rPr>
      <w:i/>
      <w:iCs/>
      <w:color w:val="2F5496" w:themeColor="accent1" w:themeShade="BF"/>
    </w:rPr>
  </w:style>
  <w:style w:type="character" w:styleId="a9">
    <w:name w:val="Intense Reference"/>
    <w:basedOn w:val="a0"/>
    <w:uiPriority w:val="32"/>
    <w:qFormat/>
    <w:rsid w:val="00872A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388</Words>
  <Characters>2136</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MOi</cp:lastModifiedBy>
  <cp:revision>2</cp:revision>
  <dcterms:created xsi:type="dcterms:W3CDTF">2026-01-19T11:16:00Z</dcterms:created>
  <dcterms:modified xsi:type="dcterms:W3CDTF">2026-01-19T11:40:00Z</dcterms:modified>
</cp:coreProperties>
</file>