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83D2" w14:textId="77777777" w:rsidR="002F59C3" w:rsidRPr="00A059EC" w:rsidRDefault="002F59C3" w:rsidP="002F59C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A059E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السنة الثانية ماستر قانون البيئة والتنمية المستدامة                                                                      </w:t>
      </w:r>
    </w:p>
    <w:p w14:paraId="5F8CB6D9" w14:textId="77777777" w:rsidR="002F59C3" w:rsidRDefault="002F59C3" w:rsidP="002F59C3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الإجابة النموذجية</w:t>
      </w:r>
    </w:p>
    <w:p w14:paraId="344F9F70" w14:textId="77777777" w:rsidR="002F59C3" w:rsidRPr="00DA2764" w:rsidRDefault="002F59C3" w:rsidP="002F59C3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CC18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الإجابة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 السؤال الأول:</w:t>
      </w:r>
    </w:p>
    <w:p w14:paraId="6DA46826" w14:textId="77777777" w:rsidR="002F59C3" w:rsidRPr="00CC18B7" w:rsidRDefault="002F59C3" w:rsidP="002F59C3">
      <w:pPr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b/>
          <w:bCs/>
          <w:sz w:val="32"/>
          <w:szCs w:val="32"/>
          <w:rtl/>
        </w:rPr>
        <w:t>أولًا: المقدمة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-</w:t>
      </w:r>
      <w:r>
        <w:rPr>
          <w:rFonts w:ascii="Traditional Arabic" w:hAnsi="Traditional Arabic" w:cs="Traditional Arabic" w:hint="cs"/>
          <w:sz w:val="32"/>
          <w:szCs w:val="32"/>
          <w:rtl/>
        </w:rPr>
        <w:t>عناصر المقدمة-</w:t>
      </w:r>
    </w:p>
    <w:p w14:paraId="573C5930" w14:textId="77777777" w:rsidR="002F59C3" w:rsidRPr="00CC18B7" w:rsidRDefault="002F59C3" w:rsidP="002F59C3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b/>
          <w:bCs/>
          <w:sz w:val="32"/>
          <w:szCs w:val="32"/>
          <w:rtl/>
        </w:rPr>
        <w:t>ثانيًا: العرض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ضمن خطة وأسلوب منهجي</w:t>
      </w:r>
    </w:p>
    <w:p w14:paraId="4136691E" w14:textId="77777777" w:rsidR="002F59C3" w:rsidRPr="00CC18B7" w:rsidRDefault="002F59C3" w:rsidP="002F59C3">
      <w:pPr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sz w:val="32"/>
          <w:szCs w:val="32"/>
          <w:rtl/>
        </w:rPr>
        <w:t>ينبغي أن يتناول العرض المحاور الآتية</w:t>
      </w:r>
      <w:r w:rsidRPr="00CC18B7">
        <w:rPr>
          <w:rFonts w:ascii="Traditional Arabic" w:hAnsi="Traditional Arabic" w:cs="Traditional Arabic"/>
          <w:sz w:val="32"/>
          <w:szCs w:val="32"/>
          <w:lang w:val="fr-FR" w:bidi="ar-DZ"/>
        </w:rPr>
        <w:t>:</w:t>
      </w:r>
    </w:p>
    <w:p w14:paraId="5F6B8634" w14:textId="77777777" w:rsidR="002F59C3" w:rsidRPr="00CC18B7" w:rsidRDefault="002F59C3" w:rsidP="002F59C3">
      <w:pPr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b/>
          <w:bCs/>
          <w:sz w:val="32"/>
          <w:szCs w:val="32"/>
          <w:rtl/>
        </w:rPr>
        <w:t>طبيعة الإطار القانوني المنظم للأخطار البيئية الكبرى في الجزائر</w:t>
      </w:r>
    </w:p>
    <w:p w14:paraId="3B085EB8" w14:textId="77777777" w:rsidR="002F59C3" w:rsidRPr="00CC18B7" w:rsidRDefault="002F59C3" w:rsidP="002F59C3">
      <w:pPr>
        <w:numPr>
          <w:ilvl w:val="1"/>
          <w:numId w:val="1"/>
        </w:numPr>
        <w:tabs>
          <w:tab w:val="num" w:pos="1440"/>
        </w:tabs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sz w:val="32"/>
          <w:szCs w:val="32"/>
          <w:rtl/>
        </w:rPr>
        <w:t>الإشارة إلى الطابع التكاملي للتشريع الجزائري (قوانين بيئية، حماية مدنية، تهيئة عمرانية)</w:t>
      </w:r>
      <w:r w:rsidRPr="00CC18B7">
        <w:rPr>
          <w:rFonts w:ascii="Traditional Arabic" w:hAnsi="Traditional Arabic" w:cs="Traditional Arabic"/>
          <w:sz w:val="32"/>
          <w:szCs w:val="32"/>
          <w:lang w:val="fr-FR" w:bidi="ar-DZ"/>
        </w:rPr>
        <w:t>.</w:t>
      </w:r>
    </w:p>
    <w:p w14:paraId="4B268CEA" w14:textId="77777777" w:rsidR="002F59C3" w:rsidRPr="00CC18B7" w:rsidRDefault="002F59C3" w:rsidP="002F59C3">
      <w:pPr>
        <w:numPr>
          <w:ilvl w:val="1"/>
          <w:numId w:val="1"/>
        </w:numPr>
        <w:tabs>
          <w:tab w:val="num" w:pos="1440"/>
        </w:tabs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sz w:val="32"/>
          <w:szCs w:val="32"/>
          <w:rtl/>
        </w:rPr>
        <w:t>إبراز دور القانون المتعلق بالوقاية من الأخطار الكبرى وتسيير الكوارث في إطار التنمية المستدامة</w:t>
      </w:r>
      <w:r w:rsidRPr="00CC18B7">
        <w:rPr>
          <w:rFonts w:ascii="Traditional Arabic" w:hAnsi="Traditional Arabic" w:cs="Traditional Arabic"/>
          <w:sz w:val="32"/>
          <w:szCs w:val="32"/>
          <w:lang w:val="fr-FR" w:bidi="ar-DZ"/>
        </w:rPr>
        <w:t>.</w:t>
      </w:r>
    </w:p>
    <w:p w14:paraId="20F8BF35" w14:textId="77777777" w:rsidR="002F59C3" w:rsidRPr="00CC18B7" w:rsidRDefault="002F59C3" w:rsidP="002F59C3">
      <w:pPr>
        <w:numPr>
          <w:ilvl w:val="1"/>
          <w:numId w:val="1"/>
        </w:numPr>
        <w:tabs>
          <w:tab w:val="num" w:pos="1440"/>
        </w:tabs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sz w:val="32"/>
          <w:szCs w:val="32"/>
          <w:rtl/>
        </w:rPr>
        <w:t>العلاقة بين التشريع البيئي والدستور، خاصة ما يتعلق بحماية البيئة والحق في بيئة سليمة</w:t>
      </w:r>
      <w:r w:rsidRPr="00CC18B7">
        <w:rPr>
          <w:rFonts w:ascii="Traditional Arabic" w:hAnsi="Traditional Arabic" w:cs="Traditional Arabic"/>
          <w:sz w:val="32"/>
          <w:szCs w:val="32"/>
          <w:lang w:val="fr-FR" w:bidi="ar-DZ"/>
        </w:rPr>
        <w:t>.</w:t>
      </w:r>
    </w:p>
    <w:p w14:paraId="01CC11B3" w14:textId="77777777" w:rsidR="002F59C3" w:rsidRPr="00CC18B7" w:rsidRDefault="002F59C3" w:rsidP="002F59C3">
      <w:pPr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b/>
          <w:bCs/>
          <w:sz w:val="32"/>
          <w:szCs w:val="32"/>
          <w:rtl/>
        </w:rPr>
        <w:t>تصنيف الأخطار والكوارث البيئية الكبرى</w:t>
      </w:r>
    </w:p>
    <w:p w14:paraId="0CCFB169" w14:textId="77777777" w:rsidR="002F59C3" w:rsidRPr="00CC18B7" w:rsidRDefault="002F59C3" w:rsidP="002F59C3">
      <w:pPr>
        <w:numPr>
          <w:ilvl w:val="1"/>
          <w:numId w:val="1"/>
        </w:numPr>
        <w:tabs>
          <w:tab w:val="num" w:pos="1440"/>
        </w:tabs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sz w:val="32"/>
          <w:szCs w:val="32"/>
          <w:rtl/>
        </w:rPr>
        <w:t>التمييز بين الأخطار الطبيعية، والتكنولوجية، والبيئية</w:t>
      </w:r>
      <w:r w:rsidRPr="00CC18B7">
        <w:rPr>
          <w:rFonts w:ascii="Traditional Arabic" w:hAnsi="Traditional Arabic" w:cs="Traditional Arabic"/>
          <w:sz w:val="32"/>
          <w:szCs w:val="32"/>
          <w:lang w:val="fr-FR" w:bidi="ar-DZ"/>
        </w:rPr>
        <w:t>.</w:t>
      </w:r>
    </w:p>
    <w:p w14:paraId="16D5B129" w14:textId="77777777" w:rsidR="002F59C3" w:rsidRPr="00CC18B7" w:rsidRDefault="002F59C3" w:rsidP="002F59C3">
      <w:pPr>
        <w:numPr>
          <w:ilvl w:val="1"/>
          <w:numId w:val="1"/>
        </w:numPr>
        <w:tabs>
          <w:tab w:val="num" w:pos="1440"/>
        </w:tabs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sz w:val="32"/>
          <w:szCs w:val="32"/>
          <w:rtl/>
        </w:rPr>
        <w:t>المعايير المعتمدة في التصنيف: درجة الخطورة، نطاق التأثير، حجم الأضرار، واحتمالية الوقوع</w:t>
      </w:r>
      <w:r w:rsidRPr="00CC18B7">
        <w:rPr>
          <w:rFonts w:ascii="Traditional Arabic" w:hAnsi="Traditional Arabic" w:cs="Traditional Arabic"/>
          <w:sz w:val="32"/>
          <w:szCs w:val="32"/>
          <w:lang w:val="fr-FR" w:bidi="ar-DZ"/>
        </w:rPr>
        <w:t>.</w:t>
      </w:r>
    </w:p>
    <w:p w14:paraId="1EFA3C37" w14:textId="77777777" w:rsidR="002F59C3" w:rsidRPr="00CC18B7" w:rsidRDefault="002F59C3" w:rsidP="002F59C3">
      <w:pPr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b/>
          <w:bCs/>
          <w:sz w:val="32"/>
          <w:szCs w:val="32"/>
          <w:rtl/>
        </w:rPr>
        <w:t>آليات الوقاية والتدخل القانونية</w:t>
      </w:r>
    </w:p>
    <w:p w14:paraId="00E4DBC5" w14:textId="77777777" w:rsidR="002F59C3" w:rsidRPr="00CC18B7" w:rsidRDefault="002F59C3" w:rsidP="002F59C3">
      <w:pPr>
        <w:numPr>
          <w:ilvl w:val="1"/>
          <w:numId w:val="1"/>
        </w:numPr>
        <w:tabs>
          <w:tab w:val="num" w:pos="1440"/>
        </w:tabs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sz w:val="32"/>
          <w:szCs w:val="32"/>
          <w:rtl/>
        </w:rPr>
        <w:t>مخططات الوقاية من الأخطار</w:t>
      </w:r>
      <w:r w:rsidRPr="00CC18B7">
        <w:rPr>
          <w:rFonts w:ascii="Traditional Arabic" w:hAnsi="Traditional Arabic" w:cs="Traditional Arabic"/>
          <w:sz w:val="32"/>
          <w:szCs w:val="32"/>
          <w:lang w:val="fr-FR" w:bidi="ar-DZ"/>
        </w:rPr>
        <w:t>.</w:t>
      </w:r>
    </w:p>
    <w:p w14:paraId="66CFBEDD" w14:textId="77777777" w:rsidR="002F59C3" w:rsidRPr="00CC18B7" w:rsidRDefault="002F59C3" w:rsidP="002F59C3">
      <w:pPr>
        <w:numPr>
          <w:ilvl w:val="1"/>
          <w:numId w:val="1"/>
        </w:numPr>
        <w:tabs>
          <w:tab w:val="num" w:pos="1440"/>
        </w:tabs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sz w:val="32"/>
          <w:szCs w:val="32"/>
          <w:rtl/>
        </w:rPr>
        <w:t>نظم الإنذار المبكر والتخطيط الاستباقي</w:t>
      </w:r>
      <w:r w:rsidRPr="00CC18B7">
        <w:rPr>
          <w:rFonts w:ascii="Traditional Arabic" w:hAnsi="Traditional Arabic" w:cs="Traditional Arabic"/>
          <w:sz w:val="32"/>
          <w:szCs w:val="32"/>
          <w:lang w:val="fr-FR" w:bidi="ar-DZ"/>
        </w:rPr>
        <w:t>.</w:t>
      </w:r>
    </w:p>
    <w:p w14:paraId="4AD9FF83" w14:textId="77777777" w:rsidR="002F59C3" w:rsidRPr="00CC18B7" w:rsidRDefault="002F59C3" w:rsidP="002F59C3">
      <w:pPr>
        <w:numPr>
          <w:ilvl w:val="1"/>
          <w:numId w:val="1"/>
        </w:numPr>
        <w:tabs>
          <w:tab w:val="num" w:pos="1440"/>
        </w:tabs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sz w:val="32"/>
          <w:szCs w:val="32"/>
          <w:rtl/>
        </w:rPr>
        <w:t>دور السلطات العمومية المركزية والمحلية في التدخل وإدارة الأزمات</w:t>
      </w:r>
      <w:r w:rsidRPr="00CC18B7">
        <w:rPr>
          <w:rFonts w:ascii="Traditional Arabic" w:hAnsi="Traditional Arabic" w:cs="Traditional Arabic"/>
          <w:sz w:val="32"/>
          <w:szCs w:val="32"/>
          <w:lang w:val="fr-FR" w:bidi="ar-DZ"/>
        </w:rPr>
        <w:t>.</w:t>
      </w:r>
    </w:p>
    <w:p w14:paraId="282C1C68" w14:textId="77777777" w:rsidR="002F59C3" w:rsidRPr="00CC18B7" w:rsidRDefault="002F59C3" w:rsidP="002F59C3">
      <w:pPr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b/>
          <w:bCs/>
          <w:sz w:val="32"/>
          <w:szCs w:val="32"/>
          <w:rtl/>
        </w:rPr>
        <w:t>أثر هذه الآليات في حماية الإنسان والبيئة</w:t>
      </w:r>
    </w:p>
    <w:p w14:paraId="3F4A9720" w14:textId="77777777" w:rsidR="002F59C3" w:rsidRPr="00CC18B7" w:rsidRDefault="002F59C3" w:rsidP="002F59C3">
      <w:pPr>
        <w:numPr>
          <w:ilvl w:val="1"/>
          <w:numId w:val="1"/>
        </w:numPr>
        <w:tabs>
          <w:tab w:val="num" w:pos="1440"/>
        </w:tabs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sz w:val="32"/>
          <w:szCs w:val="32"/>
          <w:rtl/>
        </w:rPr>
        <w:t>الحد من الخسائر البشرية والمادية</w:t>
      </w:r>
      <w:r w:rsidRPr="00CC18B7">
        <w:rPr>
          <w:rFonts w:ascii="Traditional Arabic" w:hAnsi="Traditional Arabic" w:cs="Traditional Arabic"/>
          <w:sz w:val="32"/>
          <w:szCs w:val="32"/>
          <w:lang w:val="fr-FR" w:bidi="ar-DZ"/>
        </w:rPr>
        <w:t>.</w:t>
      </w:r>
    </w:p>
    <w:p w14:paraId="2B947C32" w14:textId="77777777" w:rsidR="002F59C3" w:rsidRPr="00CC18B7" w:rsidRDefault="002F59C3" w:rsidP="002F59C3">
      <w:pPr>
        <w:numPr>
          <w:ilvl w:val="1"/>
          <w:numId w:val="1"/>
        </w:numPr>
        <w:tabs>
          <w:tab w:val="num" w:pos="1440"/>
        </w:tabs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sz w:val="32"/>
          <w:szCs w:val="32"/>
          <w:rtl/>
        </w:rPr>
        <w:t>حماية النظم البيئية</w:t>
      </w:r>
      <w:r w:rsidRPr="00CC18B7">
        <w:rPr>
          <w:rFonts w:ascii="Traditional Arabic" w:hAnsi="Traditional Arabic" w:cs="Traditional Arabic"/>
          <w:sz w:val="32"/>
          <w:szCs w:val="32"/>
          <w:lang w:val="fr-FR" w:bidi="ar-DZ"/>
        </w:rPr>
        <w:t>.</w:t>
      </w:r>
    </w:p>
    <w:p w14:paraId="7A6D4E45" w14:textId="77777777" w:rsidR="002F59C3" w:rsidRPr="00CC18B7" w:rsidRDefault="002F59C3" w:rsidP="002F59C3">
      <w:pPr>
        <w:numPr>
          <w:ilvl w:val="1"/>
          <w:numId w:val="1"/>
        </w:numPr>
        <w:tabs>
          <w:tab w:val="num" w:pos="1440"/>
        </w:tabs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sz w:val="32"/>
          <w:szCs w:val="32"/>
          <w:rtl/>
        </w:rPr>
        <w:t>ضمان استمرارية المرافق العمومية</w:t>
      </w:r>
      <w:r w:rsidRPr="00CC18B7">
        <w:rPr>
          <w:rFonts w:ascii="Traditional Arabic" w:hAnsi="Traditional Arabic" w:cs="Traditional Arabic"/>
          <w:sz w:val="32"/>
          <w:szCs w:val="32"/>
          <w:lang w:val="fr-FR" w:bidi="ar-DZ"/>
        </w:rPr>
        <w:t>.</w:t>
      </w:r>
    </w:p>
    <w:p w14:paraId="4E60B18A" w14:textId="77777777" w:rsidR="002F59C3" w:rsidRDefault="002F59C3" w:rsidP="002F59C3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CC18B7">
        <w:rPr>
          <w:rFonts w:ascii="Traditional Arabic" w:hAnsi="Traditional Arabic" w:cs="Traditional Arabic"/>
          <w:b/>
          <w:bCs/>
          <w:sz w:val="32"/>
          <w:szCs w:val="32"/>
          <w:rtl/>
        </w:rPr>
        <w:t>ثالثًا: الخاتمة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-</w:t>
      </w:r>
      <w:r>
        <w:rPr>
          <w:rFonts w:ascii="Traditional Arabic" w:hAnsi="Traditional Arabic" w:cs="Traditional Arabic" w:hint="cs"/>
          <w:sz w:val="32"/>
          <w:szCs w:val="32"/>
          <w:rtl/>
        </w:rPr>
        <w:t>عناصر الخاتمة-</w:t>
      </w:r>
    </w:p>
    <w:p w14:paraId="6E87DA5D" w14:textId="77777777" w:rsidR="002F59C3" w:rsidRPr="00DA2764" w:rsidRDefault="002F59C3" w:rsidP="002F59C3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</w:pPr>
      <w:r w:rsidRPr="00DA27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الإجابة تكون مدعمة بالنصوص القانونية</w:t>
      </w:r>
    </w:p>
    <w:p w14:paraId="2D4B61A8" w14:textId="77777777" w:rsidR="002F59C3" w:rsidRPr="00CC18B7" w:rsidRDefault="002F59C3" w:rsidP="002F59C3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الإجابة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 السؤال الثاني:</w:t>
      </w:r>
    </w:p>
    <w:p w14:paraId="3FEE3AE1" w14:textId="77777777" w:rsidR="002F59C3" w:rsidRPr="00CC18B7" w:rsidRDefault="002F59C3" w:rsidP="002F59C3">
      <w:pPr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b/>
          <w:bCs/>
          <w:sz w:val="32"/>
          <w:szCs w:val="32"/>
          <w:rtl/>
        </w:rPr>
        <w:t>أولًا: المقدمة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-</w:t>
      </w:r>
      <w:r>
        <w:rPr>
          <w:rFonts w:ascii="Traditional Arabic" w:hAnsi="Traditional Arabic" w:cs="Traditional Arabic" w:hint="cs"/>
          <w:sz w:val="32"/>
          <w:szCs w:val="32"/>
          <w:rtl/>
        </w:rPr>
        <w:t>عناصر المقدمة-</w:t>
      </w:r>
    </w:p>
    <w:p w14:paraId="3155A334" w14:textId="77777777" w:rsidR="002F59C3" w:rsidRPr="00CC18B7" w:rsidRDefault="002F59C3" w:rsidP="002F59C3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b/>
          <w:bCs/>
          <w:sz w:val="32"/>
          <w:szCs w:val="32"/>
          <w:rtl/>
        </w:rPr>
        <w:t>ثانيًا: العرض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ضمن خطة وأسلوب منهجي</w:t>
      </w:r>
    </w:p>
    <w:p w14:paraId="3D62D716" w14:textId="77777777" w:rsidR="002F59C3" w:rsidRPr="00CC18B7" w:rsidRDefault="002F59C3" w:rsidP="002F59C3">
      <w:pPr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sz w:val="32"/>
          <w:szCs w:val="32"/>
          <w:rtl/>
        </w:rPr>
        <w:t>يُنتظر من الطالب التطرق إلى العناصر الآتية</w:t>
      </w:r>
      <w:r w:rsidRPr="00CC18B7">
        <w:rPr>
          <w:rFonts w:ascii="Traditional Arabic" w:hAnsi="Traditional Arabic" w:cs="Traditional Arabic"/>
          <w:sz w:val="32"/>
          <w:szCs w:val="32"/>
          <w:lang w:val="fr-FR" w:bidi="ar-DZ"/>
        </w:rPr>
        <w:t>:</w:t>
      </w:r>
    </w:p>
    <w:p w14:paraId="13E22EA0" w14:textId="77777777" w:rsidR="002F59C3" w:rsidRPr="00CC18B7" w:rsidRDefault="002F59C3" w:rsidP="002F59C3">
      <w:pPr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b/>
          <w:bCs/>
          <w:sz w:val="32"/>
          <w:szCs w:val="32"/>
          <w:rtl/>
        </w:rPr>
        <w:t>دور المسؤولية القانونية في مواجهة الأخطار البيئية الكبرى</w:t>
      </w:r>
    </w:p>
    <w:p w14:paraId="67237C7A" w14:textId="77777777" w:rsidR="002F59C3" w:rsidRPr="00CC18B7" w:rsidRDefault="002F59C3" w:rsidP="002F59C3">
      <w:pPr>
        <w:numPr>
          <w:ilvl w:val="1"/>
          <w:numId w:val="2"/>
        </w:numPr>
        <w:tabs>
          <w:tab w:val="num" w:pos="1440"/>
        </w:tabs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sz w:val="32"/>
          <w:szCs w:val="32"/>
          <w:rtl/>
        </w:rPr>
        <w:t>المسؤولية المدنية كآلية لجبر الأضرار وتعويض المتضررين</w:t>
      </w:r>
      <w:r w:rsidRPr="00CC18B7">
        <w:rPr>
          <w:rFonts w:ascii="Traditional Arabic" w:hAnsi="Traditional Arabic" w:cs="Traditional Arabic"/>
          <w:sz w:val="32"/>
          <w:szCs w:val="32"/>
          <w:lang w:val="fr-FR" w:bidi="ar-DZ"/>
        </w:rPr>
        <w:t>.</w:t>
      </w:r>
    </w:p>
    <w:p w14:paraId="576B31AE" w14:textId="77777777" w:rsidR="002F59C3" w:rsidRPr="00CC18B7" w:rsidRDefault="002F59C3" w:rsidP="002F59C3">
      <w:pPr>
        <w:numPr>
          <w:ilvl w:val="1"/>
          <w:numId w:val="2"/>
        </w:numPr>
        <w:tabs>
          <w:tab w:val="num" w:pos="1440"/>
        </w:tabs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sz w:val="32"/>
          <w:szCs w:val="32"/>
          <w:rtl/>
        </w:rPr>
        <w:t>المسؤولية الجزائية كوسيلة ردعية لحماية النظام العام البيئي</w:t>
      </w:r>
      <w:r w:rsidRPr="00CC18B7">
        <w:rPr>
          <w:rFonts w:ascii="Traditional Arabic" w:hAnsi="Traditional Arabic" w:cs="Traditional Arabic"/>
          <w:sz w:val="32"/>
          <w:szCs w:val="32"/>
          <w:lang w:val="fr-FR" w:bidi="ar-DZ"/>
        </w:rPr>
        <w:t>.</w:t>
      </w:r>
    </w:p>
    <w:p w14:paraId="465DC67D" w14:textId="77777777" w:rsidR="002F59C3" w:rsidRPr="00CC18B7" w:rsidRDefault="002F59C3" w:rsidP="002F59C3">
      <w:pPr>
        <w:numPr>
          <w:ilvl w:val="1"/>
          <w:numId w:val="2"/>
        </w:numPr>
        <w:tabs>
          <w:tab w:val="num" w:pos="1440"/>
        </w:tabs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sz w:val="32"/>
          <w:szCs w:val="32"/>
          <w:rtl/>
        </w:rPr>
        <w:t>خصوصية المسؤولية في المجال البيئي (صعوبة الإثبات، الطابع الجماعي للضرر)</w:t>
      </w:r>
      <w:r w:rsidRPr="00CC18B7">
        <w:rPr>
          <w:rFonts w:ascii="Traditional Arabic" w:hAnsi="Traditional Arabic" w:cs="Traditional Arabic"/>
          <w:sz w:val="32"/>
          <w:szCs w:val="32"/>
          <w:lang w:val="fr-FR" w:bidi="ar-DZ"/>
        </w:rPr>
        <w:t>.</w:t>
      </w:r>
    </w:p>
    <w:p w14:paraId="169480EE" w14:textId="77777777" w:rsidR="002F59C3" w:rsidRPr="00CC18B7" w:rsidRDefault="002F59C3" w:rsidP="002F59C3">
      <w:pPr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b/>
          <w:bCs/>
          <w:sz w:val="32"/>
          <w:szCs w:val="32"/>
          <w:rtl/>
        </w:rPr>
        <w:t>دور القضاء في معالجة النزاعات البيئية الكبرى</w:t>
      </w:r>
    </w:p>
    <w:p w14:paraId="5A22E3EE" w14:textId="77777777" w:rsidR="002F59C3" w:rsidRPr="00CC18B7" w:rsidRDefault="002F59C3" w:rsidP="002F59C3">
      <w:pPr>
        <w:numPr>
          <w:ilvl w:val="1"/>
          <w:numId w:val="2"/>
        </w:numPr>
        <w:tabs>
          <w:tab w:val="num" w:pos="1440"/>
        </w:tabs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sz w:val="32"/>
          <w:szCs w:val="32"/>
          <w:rtl/>
        </w:rPr>
        <w:t>دور القضاء الإداري في مراقبة مشروعية القرارات الإدارية المتعلقة بالوقاية والتدخل</w:t>
      </w:r>
      <w:r w:rsidRPr="00CC18B7">
        <w:rPr>
          <w:rFonts w:ascii="Traditional Arabic" w:hAnsi="Traditional Arabic" w:cs="Traditional Arabic"/>
          <w:sz w:val="32"/>
          <w:szCs w:val="32"/>
          <w:lang w:val="fr-FR" w:bidi="ar-DZ"/>
        </w:rPr>
        <w:t>.</w:t>
      </w:r>
    </w:p>
    <w:p w14:paraId="078F0784" w14:textId="77777777" w:rsidR="002F59C3" w:rsidRPr="00CC18B7" w:rsidRDefault="002F59C3" w:rsidP="002F59C3">
      <w:pPr>
        <w:numPr>
          <w:ilvl w:val="1"/>
          <w:numId w:val="2"/>
        </w:numPr>
        <w:tabs>
          <w:tab w:val="num" w:pos="1440"/>
        </w:tabs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sz w:val="32"/>
          <w:szCs w:val="32"/>
          <w:rtl/>
        </w:rPr>
        <w:t>دور القضاء الجزائي في معاقبة الأفعال الملوِّثة أو المسببة للأخطار</w:t>
      </w:r>
      <w:r w:rsidRPr="00CC18B7">
        <w:rPr>
          <w:rFonts w:ascii="Traditional Arabic" w:hAnsi="Traditional Arabic" w:cs="Traditional Arabic"/>
          <w:sz w:val="32"/>
          <w:szCs w:val="32"/>
          <w:lang w:val="fr-FR" w:bidi="ar-DZ"/>
        </w:rPr>
        <w:t>.</w:t>
      </w:r>
    </w:p>
    <w:p w14:paraId="15201591" w14:textId="77777777" w:rsidR="002F59C3" w:rsidRPr="00CC18B7" w:rsidRDefault="002F59C3" w:rsidP="002F59C3">
      <w:pPr>
        <w:numPr>
          <w:ilvl w:val="1"/>
          <w:numId w:val="2"/>
        </w:numPr>
        <w:tabs>
          <w:tab w:val="num" w:pos="1440"/>
        </w:tabs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sz w:val="32"/>
          <w:szCs w:val="32"/>
          <w:rtl/>
        </w:rPr>
        <w:t>أهمية الاجتهاد القضائي في تطوير الحماية البيئية</w:t>
      </w:r>
      <w:r w:rsidRPr="00CC18B7">
        <w:rPr>
          <w:rFonts w:ascii="Traditional Arabic" w:hAnsi="Traditional Arabic" w:cs="Traditional Arabic"/>
          <w:sz w:val="32"/>
          <w:szCs w:val="32"/>
          <w:lang w:val="fr-FR" w:bidi="ar-DZ"/>
        </w:rPr>
        <w:t>.</w:t>
      </w:r>
    </w:p>
    <w:p w14:paraId="0AE82183" w14:textId="77777777" w:rsidR="002F59C3" w:rsidRPr="00CC18B7" w:rsidRDefault="002F59C3" w:rsidP="002F59C3">
      <w:pPr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b/>
          <w:bCs/>
          <w:sz w:val="32"/>
          <w:szCs w:val="32"/>
          <w:rtl/>
        </w:rPr>
        <w:t>انعكاس ذلك على حماية حقوق الإنسان</w:t>
      </w:r>
    </w:p>
    <w:p w14:paraId="065A5D29" w14:textId="77777777" w:rsidR="002F59C3" w:rsidRPr="00CC18B7" w:rsidRDefault="002F59C3" w:rsidP="002F59C3">
      <w:pPr>
        <w:numPr>
          <w:ilvl w:val="1"/>
          <w:numId w:val="2"/>
        </w:numPr>
        <w:tabs>
          <w:tab w:val="num" w:pos="1440"/>
        </w:tabs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sz w:val="32"/>
          <w:szCs w:val="32"/>
          <w:rtl/>
        </w:rPr>
        <w:t>حماية الحق في الحياة والصحة</w:t>
      </w:r>
      <w:r w:rsidRPr="00CC18B7">
        <w:rPr>
          <w:rFonts w:ascii="Traditional Arabic" w:hAnsi="Traditional Arabic" w:cs="Traditional Arabic"/>
          <w:sz w:val="32"/>
          <w:szCs w:val="32"/>
          <w:lang w:val="fr-FR" w:bidi="ar-DZ"/>
        </w:rPr>
        <w:t>.</w:t>
      </w:r>
    </w:p>
    <w:p w14:paraId="53B494B5" w14:textId="77777777" w:rsidR="002F59C3" w:rsidRPr="00CC18B7" w:rsidRDefault="002F59C3" w:rsidP="002F59C3">
      <w:pPr>
        <w:numPr>
          <w:ilvl w:val="1"/>
          <w:numId w:val="2"/>
        </w:numPr>
        <w:tabs>
          <w:tab w:val="num" w:pos="1440"/>
        </w:tabs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sz w:val="32"/>
          <w:szCs w:val="32"/>
          <w:rtl/>
        </w:rPr>
        <w:t>تكريس الحق في بيئة سليمة كحق دستوري</w:t>
      </w:r>
      <w:r w:rsidRPr="00CC18B7">
        <w:rPr>
          <w:rFonts w:ascii="Traditional Arabic" w:hAnsi="Traditional Arabic" w:cs="Traditional Arabic"/>
          <w:sz w:val="32"/>
          <w:szCs w:val="32"/>
          <w:lang w:val="fr-FR" w:bidi="ar-DZ"/>
        </w:rPr>
        <w:t>.</w:t>
      </w:r>
    </w:p>
    <w:p w14:paraId="51B9C10A" w14:textId="77777777" w:rsidR="002F59C3" w:rsidRPr="00CC18B7" w:rsidRDefault="002F59C3" w:rsidP="002F59C3">
      <w:pPr>
        <w:numPr>
          <w:ilvl w:val="1"/>
          <w:numId w:val="2"/>
        </w:numPr>
        <w:tabs>
          <w:tab w:val="num" w:pos="1440"/>
        </w:tabs>
        <w:bidi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C18B7">
        <w:rPr>
          <w:rFonts w:ascii="Traditional Arabic" w:hAnsi="Traditional Arabic" w:cs="Traditional Arabic"/>
          <w:sz w:val="32"/>
          <w:szCs w:val="32"/>
          <w:rtl/>
        </w:rPr>
        <w:t>العلاقة بين الأمن البيئي والأمن الإنساني</w:t>
      </w:r>
      <w:r w:rsidRPr="00CC18B7">
        <w:rPr>
          <w:rFonts w:ascii="Traditional Arabic" w:hAnsi="Traditional Arabic" w:cs="Traditional Arabic"/>
          <w:sz w:val="32"/>
          <w:szCs w:val="32"/>
          <w:lang w:val="fr-FR" w:bidi="ar-DZ"/>
        </w:rPr>
        <w:t>.</w:t>
      </w:r>
    </w:p>
    <w:p w14:paraId="5E2F7BF1" w14:textId="77777777" w:rsidR="002F59C3" w:rsidRDefault="002F59C3" w:rsidP="002F59C3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C18B7">
        <w:rPr>
          <w:rFonts w:ascii="Traditional Arabic" w:hAnsi="Traditional Arabic" w:cs="Traditional Arabic"/>
          <w:b/>
          <w:bCs/>
          <w:sz w:val="32"/>
          <w:szCs w:val="32"/>
          <w:rtl/>
        </w:rPr>
        <w:t>ثالثًا: الخاتمة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-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عناصر الخاتمة- </w:t>
      </w:r>
    </w:p>
    <w:p w14:paraId="5EB2A830" w14:textId="77777777" w:rsidR="002F59C3" w:rsidRDefault="002F59C3" w:rsidP="002F59C3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DA27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الإجابة تكون مدعمة بالنصوص القانونية</w:t>
      </w:r>
    </w:p>
    <w:p w14:paraId="06EB18E6" w14:textId="77777777" w:rsidR="002F59C3" w:rsidRPr="00DA2764" w:rsidRDefault="002F59C3" w:rsidP="002F59C3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</w:pPr>
    </w:p>
    <w:p w14:paraId="7CB7A027" w14:textId="77777777" w:rsidR="00C0085E" w:rsidRDefault="00C0085E" w:rsidP="002F59C3">
      <w:pPr>
        <w:jc w:val="right"/>
        <w:rPr>
          <w:lang w:bidi="ar-DZ"/>
        </w:rPr>
      </w:pPr>
    </w:p>
    <w:sectPr w:rsidR="00C0085E" w:rsidSect="002F59C3">
      <w:pgSz w:w="12240" w:h="15840"/>
      <w:pgMar w:top="426" w:right="333" w:bottom="142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10586"/>
    <w:multiLevelType w:val="multilevel"/>
    <w:tmpl w:val="9CFE4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raditional Arabic" w:eastAsiaTheme="minorHAnsi" w:hAnsi="Traditional Arabic" w:cs="Traditional Arabic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740620"/>
    <w:multiLevelType w:val="multilevel"/>
    <w:tmpl w:val="F3965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raditional Arabic" w:eastAsiaTheme="minorHAnsi" w:hAnsi="Traditional Arabic" w:cs="Traditional Arabic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5310486">
    <w:abstractNumId w:val="1"/>
  </w:num>
  <w:num w:numId="2" w16cid:durableId="188640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C3"/>
    <w:rsid w:val="002F59C3"/>
    <w:rsid w:val="00390A15"/>
    <w:rsid w:val="004E5D2B"/>
    <w:rsid w:val="00C0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86F3"/>
  <w15:chartTrackingRefBased/>
  <w15:docId w15:val="{646B93E5-05C5-4D7D-8BDE-BCE7F722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9C3"/>
  </w:style>
  <w:style w:type="paragraph" w:styleId="1">
    <w:name w:val="heading 1"/>
    <w:basedOn w:val="a"/>
    <w:next w:val="a"/>
    <w:link w:val="1Char"/>
    <w:uiPriority w:val="9"/>
    <w:qFormat/>
    <w:rsid w:val="002F5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F5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F59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F5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F59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F5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F5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F5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F5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F5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F5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F59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F59C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F59C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F59C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F59C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F59C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F59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F5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F5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F5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F5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F5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F59C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F59C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F59C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F5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F59C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F5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1</cp:revision>
  <dcterms:created xsi:type="dcterms:W3CDTF">2026-01-19T11:06:00Z</dcterms:created>
  <dcterms:modified xsi:type="dcterms:W3CDTF">2026-01-19T11:07:00Z</dcterms:modified>
</cp:coreProperties>
</file>