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BB" w:rsidRDefault="003563BB" w:rsidP="003563BB">
      <w:pPr>
        <w:bidi/>
        <w:spacing w:line="240" w:lineRule="auto"/>
        <w:rPr>
          <w:rFonts w:cs="Arabic Transparent"/>
          <w:sz w:val="32"/>
          <w:szCs w:val="32"/>
          <w:lang w:val="en-US" w:bidi="ar-DZ"/>
        </w:rPr>
      </w:pPr>
      <w:r>
        <w:rPr>
          <w:rFonts w:cs="Arabic Transparent"/>
          <w:sz w:val="32"/>
          <w:szCs w:val="32"/>
          <w:rtl/>
          <w:lang w:val="en-US" w:bidi="ar-DZ"/>
        </w:rPr>
        <w:t xml:space="preserve">جامعة العربي بن مهيدي أم البواقي               </w:t>
      </w:r>
      <w:r w:rsidR="000B1893">
        <w:rPr>
          <w:rFonts w:cs="Arabic Transparent" w:hint="cs"/>
          <w:sz w:val="32"/>
          <w:szCs w:val="32"/>
          <w:rtl/>
          <w:lang w:val="en-US" w:bidi="ar-DZ"/>
        </w:rPr>
        <w:t xml:space="preserve">                  </w:t>
      </w:r>
      <w:r>
        <w:rPr>
          <w:rFonts w:cs="Arabic Transparent"/>
          <w:sz w:val="32"/>
          <w:szCs w:val="32"/>
          <w:rtl/>
          <w:lang w:val="en-US" w:bidi="ar-DZ"/>
        </w:rPr>
        <w:t xml:space="preserve">   سنة أولي ماستر ق عام</w:t>
      </w:r>
    </w:p>
    <w:p w:rsidR="003563BB" w:rsidRDefault="003563BB" w:rsidP="003563BB">
      <w:pPr>
        <w:bidi/>
        <w:spacing w:line="240" w:lineRule="auto"/>
        <w:rPr>
          <w:rFonts w:cs="Arabic Transparent"/>
          <w:sz w:val="32"/>
          <w:szCs w:val="32"/>
          <w:lang w:val="en-US" w:bidi="ar-DZ"/>
        </w:rPr>
      </w:pPr>
      <w:r>
        <w:rPr>
          <w:rFonts w:cs="Arabic Transparent"/>
          <w:sz w:val="32"/>
          <w:szCs w:val="32"/>
          <w:rtl/>
          <w:lang w:val="en-US" w:bidi="ar-DZ"/>
        </w:rPr>
        <w:t xml:space="preserve">كلية الحقوق والعلوم السياسية                           </w:t>
      </w:r>
    </w:p>
    <w:p w:rsidR="003563BB" w:rsidRDefault="003563BB" w:rsidP="002511DA">
      <w:pPr>
        <w:bidi/>
        <w:spacing w:line="240" w:lineRule="auto"/>
        <w:rPr>
          <w:rFonts w:cs="Arabic Transparent"/>
          <w:sz w:val="32"/>
          <w:szCs w:val="32"/>
          <w:rtl/>
          <w:lang w:val="en-US" w:bidi="ar-DZ"/>
        </w:rPr>
      </w:pPr>
      <w:r>
        <w:rPr>
          <w:rFonts w:cs="Arabic Transparent"/>
          <w:sz w:val="32"/>
          <w:szCs w:val="32"/>
          <w:rtl/>
          <w:lang w:val="en-US" w:bidi="ar-DZ"/>
        </w:rPr>
        <w:t xml:space="preserve">قسم الحقوق                                              </w:t>
      </w:r>
    </w:p>
    <w:p w:rsidR="003563BB" w:rsidRDefault="003563BB" w:rsidP="003563BB">
      <w:pPr>
        <w:bidi/>
        <w:spacing w:line="240" w:lineRule="auto"/>
        <w:jc w:val="center"/>
        <w:rPr>
          <w:rFonts w:cs="Arabic Transparent"/>
          <w:b/>
          <w:bCs/>
          <w:i/>
          <w:iCs/>
          <w:sz w:val="32"/>
          <w:szCs w:val="32"/>
          <w:rtl/>
          <w:lang w:val="en-US" w:bidi="ar-DZ"/>
        </w:rPr>
      </w:pPr>
      <w:r>
        <w:rPr>
          <w:rFonts w:cs="Arabic Transparent"/>
          <w:b/>
          <w:bCs/>
          <w:i/>
          <w:iCs/>
          <w:sz w:val="32"/>
          <w:szCs w:val="32"/>
          <w:rtl/>
          <w:lang w:val="en-US" w:bidi="ar-DZ"/>
        </w:rPr>
        <w:t>الإجابة النموذجية لامتحان السداسي الأول</w:t>
      </w:r>
    </w:p>
    <w:p w:rsidR="003563BB" w:rsidRDefault="003563BB" w:rsidP="003563BB">
      <w:pPr>
        <w:bidi/>
        <w:spacing w:line="240" w:lineRule="auto"/>
        <w:jc w:val="center"/>
        <w:rPr>
          <w:rFonts w:cs="Arabic Transparent"/>
          <w:b/>
          <w:bCs/>
          <w:i/>
          <w:iCs/>
          <w:sz w:val="32"/>
          <w:szCs w:val="32"/>
          <w:rtl/>
          <w:lang w:val="en-US" w:bidi="ar-DZ"/>
        </w:rPr>
      </w:pPr>
      <w:r>
        <w:rPr>
          <w:rFonts w:cs="Arabic Transparent"/>
          <w:b/>
          <w:bCs/>
          <w:i/>
          <w:iCs/>
          <w:sz w:val="32"/>
          <w:szCs w:val="32"/>
          <w:rtl/>
          <w:lang w:val="en-US" w:bidi="ar-DZ"/>
        </w:rPr>
        <w:t xml:space="preserve"> في مقياس السلطات الإدارية المستقلة</w:t>
      </w:r>
    </w:p>
    <w:p w:rsidR="002511DA" w:rsidRDefault="003563BB" w:rsidP="003563BB">
      <w:pPr>
        <w:bidi/>
        <w:spacing w:after="0" w:line="240" w:lineRule="auto"/>
        <w:jc w:val="both"/>
        <w:rPr>
          <w:rFonts w:ascii="Sakkal Majalla" w:hAnsi="Sakkal Majalla" w:cs="Simplified Arabic" w:hint="cs"/>
          <w:sz w:val="28"/>
          <w:szCs w:val="28"/>
          <w:rtl/>
          <w:lang w:bidi="ar-DZ"/>
        </w:rPr>
      </w:pPr>
      <w:r w:rsidRPr="00CE242D">
        <w:rPr>
          <w:rFonts w:ascii="Sakkal Majalla" w:hAnsi="Sakkal Majalla" w:cs="Simplified Arabic" w:hint="cs"/>
          <w:sz w:val="28"/>
          <w:szCs w:val="28"/>
          <w:rtl/>
          <w:lang w:bidi="ar-DZ"/>
        </w:rPr>
        <w:tab/>
      </w:r>
    </w:p>
    <w:p w:rsidR="003563BB" w:rsidRPr="00CE242D" w:rsidRDefault="001331BF" w:rsidP="002511DA">
      <w:pPr>
        <w:bidi/>
        <w:spacing w:after="0" w:line="240" w:lineRule="auto"/>
        <w:jc w:val="both"/>
        <w:rPr>
          <w:rFonts w:ascii="Sakkal Majalla" w:hAnsi="Sakkal Majalla" w:cs="Simplified Arabic"/>
          <w:sz w:val="28"/>
          <w:szCs w:val="28"/>
          <w:rtl/>
          <w:lang w:bidi="ar-DZ"/>
        </w:rPr>
      </w:pPr>
      <w:r>
        <w:rPr>
          <w:rFonts w:ascii="Sakkal Majalla" w:hAnsi="Sakkal Majalla" w:cs="Simplified Arabic" w:hint="cs"/>
          <w:sz w:val="28"/>
          <w:szCs w:val="28"/>
          <w:rtl/>
          <w:lang w:bidi="ar-DZ"/>
        </w:rPr>
        <w:t xml:space="preserve">  </w:t>
      </w:r>
      <w:r w:rsidR="003563BB" w:rsidRPr="00CE242D">
        <w:rPr>
          <w:rFonts w:ascii="Sakkal Majalla" w:hAnsi="Sakkal Majalla" w:cs="Simplified Arabic"/>
          <w:sz w:val="28"/>
          <w:szCs w:val="28"/>
          <w:rtl/>
          <w:lang w:bidi="ar-DZ"/>
        </w:rPr>
        <w:t xml:space="preserve">تحتاج </w:t>
      </w:r>
      <w:r w:rsidR="003563BB" w:rsidRPr="00CE242D">
        <w:rPr>
          <w:rFonts w:ascii="Sakkal Majalla" w:hAnsi="Sakkal Majalla" w:cs="Simplified Arabic" w:hint="cs"/>
          <w:sz w:val="28"/>
          <w:szCs w:val="28"/>
          <w:rtl/>
          <w:lang w:bidi="ar-DZ"/>
        </w:rPr>
        <w:t>الأنظمة</w:t>
      </w:r>
      <w:r w:rsidR="003563BB" w:rsidRPr="00CE242D">
        <w:rPr>
          <w:rFonts w:ascii="Sakkal Majalla" w:hAnsi="Sakkal Majalla" w:cs="Simplified Arabic"/>
          <w:sz w:val="28"/>
          <w:szCs w:val="28"/>
          <w:rtl/>
          <w:lang w:bidi="ar-DZ"/>
        </w:rPr>
        <w:t xml:space="preserve"> من أجل تطبيقها وتجسيدها على أرض الواقع إلى نوع أخر من القرارات وهي القرارات الفردية، والتي تسمح للسلطات الإدارية المستقلة المتدخلة مباشرة في القطاعات لمواجهة مختلف المخالفات. وتنقسم هذه القرارات إلى فئتين، فئة أولى تظم القرارات التي تتدخل بموجبها هذه الهيئات بهدف رقابة دخول السوق أو النفاذ إلى مختلف المهن والنشاطات، وتتجسد في شكلين أساسين هما التراخيص والاعتمادات، وفئة ثانية تستطيع بواسطتها هذه الهيئات ضمان إشرافها على السوق ورقابتها له.</w:t>
      </w:r>
    </w:p>
    <w:p w:rsidR="003563BB" w:rsidRPr="00CE242D" w:rsidRDefault="003563BB" w:rsidP="003563BB">
      <w:pPr>
        <w:bidi/>
        <w:spacing w:after="0" w:line="240" w:lineRule="auto"/>
        <w:jc w:val="both"/>
        <w:rPr>
          <w:rFonts w:ascii="Sakkal Majalla" w:hAnsi="Sakkal Majalla" w:cs="Simplified Arabic"/>
          <w:sz w:val="28"/>
          <w:szCs w:val="28"/>
          <w:rtl/>
          <w:lang w:bidi="ar-DZ"/>
        </w:rPr>
      </w:pPr>
    </w:p>
    <w:p w:rsidR="003563BB" w:rsidRPr="003563BB" w:rsidRDefault="003563BB" w:rsidP="003563BB">
      <w:pPr>
        <w:pStyle w:val="Titre6"/>
        <w:bidi/>
        <w:spacing w:line="240" w:lineRule="auto"/>
        <w:ind w:left="-1"/>
        <w:rPr>
          <w:rFonts w:ascii="Sakkal Majalla" w:hAnsi="Sakkal Majalla" w:cs="Simplified Arabic"/>
          <w:i w:val="0"/>
          <w:iCs w:val="0"/>
          <w:color w:val="auto"/>
          <w:sz w:val="28"/>
          <w:szCs w:val="28"/>
          <w:rtl/>
          <w:lang w:bidi="ar-DZ"/>
        </w:rPr>
      </w:pPr>
      <w:r w:rsidRPr="003563BB">
        <w:rPr>
          <w:rFonts w:ascii="Sakkal Majalla" w:hAnsi="Sakkal Majalla" w:cs="Simplified Arabic"/>
          <w:i w:val="0"/>
          <w:iCs w:val="0"/>
          <w:color w:val="auto"/>
          <w:sz w:val="28"/>
          <w:szCs w:val="28"/>
          <w:rtl/>
          <w:lang w:bidi="ar-DZ"/>
        </w:rPr>
        <w:t xml:space="preserve"> حدود السلطة التقديرية الممنوحة للسلطات الإدارية المستقلة في منح الاعتمادات والتراخيص.</w:t>
      </w:r>
    </w:p>
    <w:p w:rsidR="003563BB" w:rsidRDefault="003563BB" w:rsidP="003563BB">
      <w:pPr>
        <w:bidi/>
        <w:spacing w:after="0" w:line="240" w:lineRule="auto"/>
        <w:ind w:left="-1" w:firstLine="708"/>
        <w:jc w:val="both"/>
        <w:rPr>
          <w:rFonts w:ascii="Sakkal Majalla" w:hAnsi="Sakkal Majalla" w:cs="Simplified Arabic" w:hint="cs"/>
          <w:sz w:val="28"/>
          <w:szCs w:val="28"/>
          <w:rtl/>
          <w:lang w:bidi="ar-DZ"/>
        </w:rPr>
      </w:pPr>
      <w:r w:rsidRPr="00CE242D">
        <w:rPr>
          <w:rFonts w:ascii="Sakkal Majalla" w:hAnsi="Sakkal Majalla" w:cs="Simplified Arabic"/>
          <w:sz w:val="28"/>
          <w:szCs w:val="28"/>
          <w:rtl/>
          <w:lang w:bidi="ar-DZ"/>
        </w:rPr>
        <w:t>لم يمنح المشرع هذه الصلاحية لجميع السلطات الإدارية المستقلة، بل منحها لبعض تلك السلطات وهي مجلس النقد والقرض ، لجنة تنظيم ومراقبة عمليات البورصة ، سلطة ضبط البريد والمواصلات السلكية واللاسلكية، الوكالتين المنجميتين، لجنة ضبط الكهرباء و الغاز . بالنسبة لسلطة ضبط البريد والمواصلات السلكية واللاسلكية، فقد وسع المشرع من مجال سلطتها</w:t>
      </w:r>
      <w:r>
        <w:rPr>
          <w:rFonts w:ascii="Sakkal Majalla" w:hAnsi="Sakkal Majalla" w:cs="Simplified Arabic"/>
          <w:sz w:val="28"/>
          <w:szCs w:val="28"/>
          <w:rtl/>
          <w:lang w:bidi="ar-DZ"/>
        </w:rPr>
        <w:t xml:space="preserve"> في منح التراخيص بأشكال مختلفة</w:t>
      </w:r>
      <w:r>
        <w:rPr>
          <w:rFonts w:ascii="Sakkal Majalla" w:hAnsi="Sakkal Majalla" w:cs="Simplified Arabic" w:hint="cs"/>
          <w:sz w:val="28"/>
          <w:szCs w:val="28"/>
          <w:rtl/>
          <w:lang w:bidi="ar-DZ"/>
        </w:rPr>
        <w:t>.</w:t>
      </w:r>
    </w:p>
    <w:p w:rsidR="003563BB" w:rsidRPr="00CE242D" w:rsidRDefault="003563BB" w:rsidP="003563BB">
      <w:pPr>
        <w:bidi/>
        <w:spacing w:after="0" w:line="240" w:lineRule="auto"/>
        <w:jc w:val="both"/>
        <w:rPr>
          <w:rFonts w:ascii="Sakkal Majalla" w:hAnsi="Sakkal Majalla" w:cs="Simplified Arabic"/>
          <w:sz w:val="28"/>
          <w:szCs w:val="28"/>
          <w:lang w:bidi="ar-DZ"/>
        </w:rPr>
      </w:pPr>
      <w:r w:rsidRPr="00CE242D">
        <w:rPr>
          <w:rFonts w:ascii="Sakkal Majalla" w:hAnsi="Sakkal Majalla" w:cs="Simplified Arabic"/>
          <w:sz w:val="28"/>
          <w:szCs w:val="28"/>
          <w:rtl/>
          <w:lang w:bidi="ar-DZ"/>
        </w:rPr>
        <w:t xml:space="preserve">صلاحية منح التصريح بالاستغلال </w:t>
      </w:r>
    </w:p>
    <w:p w:rsidR="003563BB" w:rsidRPr="00CE242D" w:rsidRDefault="003563BB" w:rsidP="003563BB">
      <w:pPr>
        <w:pStyle w:val="Paragraphedeliste"/>
        <w:numPr>
          <w:ilvl w:val="0"/>
          <w:numId w:val="1"/>
        </w:numPr>
        <w:bidi/>
        <w:spacing w:after="0" w:line="240" w:lineRule="auto"/>
        <w:ind w:left="-1"/>
        <w:jc w:val="both"/>
        <w:rPr>
          <w:rFonts w:ascii="Sakkal Majalla" w:hAnsi="Sakkal Majalla" w:cs="Simplified Arabic"/>
          <w:sz w:val="28"/>
          <w:szCs w:val="28"/>
          <w:lang w:bidi="ar-DZ"/>
        </w:rPr>
      </w:pPr>
      <w:r w:rsidRPr="00CE242D">
        <w:rPr>
          <w:rFonts w:ascii="Sakkal Majalla" w:hAnsi="Sakkal Majalla" w:cs="Simplified Arabic"/>
          <w:sz w:val="28"/>
          <w:szCs w:val="28"/>
          <w:rtl/>
          <w:lang w:bidi="ar-DZ"/>
        </w:rPr>
        <w:t xml:space="preserve"> صلاحية منح التراخيص </w:t>
      </w:r>
    </w:p>
    <w:p w:rsidR="002511DA" w:rsidRDefault="003563BB" w:rsidP="002511DA">
      <w:pPr>
        <w:pStyle w:val="Paragraphedeliste"/>
        <w:numPr>
          <w:ilvl w:val="0"/>
          <w:numId w:val="1"/>
        </w:numPr>
        <w:bidi/>
        <w:spacing w:after="0" w:line="240" w:lineRule="auto"/>
        <w:ind w:left="-1"/>
        <w:jc w:val="both"/>
        <w:rPr>
          <w:rFonts w:ascii="Sakkal Majalla" w:hAnsi="Sakkal Majalla" w:cs="Simplified Arabic" w:hint="cs"/>
          <w:sz w:val="28"/>
          <w:szCs w:val="28"/>
          <w:lang w:bidi="ar-DZ"/>
        </w:rPr>
      </w:pPr>
      <w:r w:rsidRPr="00CE242D">
        <w:rPr>
          <w:rFonts w:ascii="Sakkal Majalla" w:hAnsi="Sakkal Majalla" w:cs="Simplified Arabic"/>
          <w:sz w:val="28"/>
          <w:szCs w:val="28"/>
          <w:rtl/>
          <w:lang w:bidi="ar-DZ"/>
        </w:rPr>
        <w:t xml:space="preserve"> صلاحية منح التصريح البسيط </w:t>
      </w:r>
    </w:p>
    <w:p w:rsidR="002511DA" w:rsidRPr="002511DA" w:rsidRDefault="002511DA" w:rsidP="002511DA">
      <w:pPr>
        <w:pStyle w:val="Paragraphedeliste"/>
        <w:bidi/>
        <w:spacing w:after="0" w:line="240" w:lineRule="auto"/>
        <w:ind w:left="-1"/>
        <w:jc w:val="both"/>
        <w:rPr>
          <w:rFonts w:ascii="Sakkal Majalla" w:hAnsi="Sakkal Majalla" w:cs="Simplified Arabic"/>
          <w:sz w:val="28"/>
          <w:szCs w:val="28"/>
          <w:lang w:bidi="ar-DZ"/>
        </w:rPr>
      </w:pPr>
    </w:p>
    <w:p w:rsidR="003563BB" w:rsidRPr="00CE242D" w:rsidRDefault="003563BB" w:rsidP="002F43C7">
      <w:pPr>
        <w:pStyle w:val="Paragraphedeliste"/>
        <w:numPr>
          <w:ilvl w:val="0"/>
          <w:numId w:val="1"/>
        </w:numPr>
        <w:bidi/>
        <w:spacing w:after="0" w:line="240" w:lineRule="auto"/>
        <w:ind w:left="-1" w:firstLine="360"/>
        <w:jc w:val="both"/>
        <w:rPr>
          <w:rFonts w:ascii="Sakkal Majalla" w:hAnsi="Sakkal Majalla" w:cs="Simplified Arabic"/>
          <w:sz w:val="28"/>
          <w:szCs w:val="28"/>
          <w:lang w:bidi="ar-DZ"/>
        </w:rPr>
      </w:pPr>
      <w:r w:rsidRPr="00CE242D">
        <w:rPr>
          <w:rFonts w:ascii="Sakkal Majalla" w:hAnsi="Sakkal Majalla" w:cs="Simplified Arabic"/>
          <w:sz w:val="28"/>
          <w:szCs w:val="28"/>
          <w:rtl/>
          <w:lang w:bidi="ar-DZ"/>
        </w:rPr>
        <w:t>في مجال البورصة</w:t>
      </w:r>
      <w:r w:rsidRPr="00CE242D">
        <w:rPr>
          <w:rFonts w:ascii="Sakkal Majalla" w:hAnsi="Sakkal Majalla" w:cs="Simplified Arabic" w:hint="cs"/>
          <w:sz w:val="28"/>
          <w:szCs w:val="28"/>
          <w:rtl/>
          <w:lang w:bidi="ar-DZ"/>
        </w:rPr>
        <w:t>:</w:t>
      </w:r>
      <w:r w:rsidRPr="00CE242D">
        <w:rPr>
          <w:rFonts w:ascii="Sakkal Majalla" w:hAnsi="Sakkal Majalla" w:cs="Simplified Arabic"/>
          <w:sz w:val="28"/>
          <w:szCs w:val="28"/>
          <w:rtl/>
          <w:lang w:bidi="ar-DZ"/>
        </w:rPr>
        <w:t xml:space="preserve"> تختص لجنة تنظيم ومراقبة عمليات البورصة بممارسة نوعين من الرقابة السابقة، النوع الأول يعتمد على رقابة دخول سوق البورصة والثاني يتعلق بالنفاذ إلى مهنة الوسيط في عمليات البورصة. </w:t>
      </w:r>
    </w:p>
    <w:p w:rsidR="002F43C7" w:rsidRPr="002F43C7" w:rsidRDefault="003563BB" w:rsidP="003563BB">
      <w:pPr>
        <w:pStyle w:val="Paragraphedeliste"/>
        <w:numPr>
          <w:ilvl w:val="0"/>
          <w:numId w:val="1"/>
        </w:numPr>
        <w:bidi/>
        <w:spacing w:after="0" w:line="240" w:lineRule="auto"/>
        <w:ind w:left="-1"/>
        <w:jc w:val="both"/>
        <w:rPr>
          <w:rFonts w:ascii="Sakkal Majalla" w:hAnsi="Sakkal Majalla" w:cs="Simplified Arabic" w:hint="cs"/>
          <w:b/>
          <w:bCs/>
          <w:sz w:val="28"/>
          <w:szCs w:val="28"/>
          <w:lang w:bidi="ar-DZ"/>
        </w:rPr>
      </w:pPr>
      <w:r w:rsidRPr="002F43C7">
        <w:rPr>
          <w:rFonts w:ascii="Sakkal Majalla" w:hAnsi="Sakkal Majalla" w:cs="Simplified Arabic"/>
          <w:sz w:val="28"/>
          <w:szCs w:val="28"/>
          <w:rtl/>
          <w:lang w:bidi="ar-DZ"/>
        </w:rPr>
        <w:t xml:space="preserve"> في المجال المنجمي فقد منحت الوكالة الوطنية للنشاطات المنجمية سلطة منح، تجديد، تعليق وسحب التراخيص المنجمية تحت رقابة الوزير المكلف بالمناجم </w:t>
      </w:r>
    </w:p>
    <w:p w:rsidR="003563BB" w:rsidRPr="002F43C7" w:rsidRDefault="003563BB" w:rsidP="002F43C7">
      <w:pPr>
        <w:pStyle w:val="Paragraphedeliste"/>
        <w:numPr>
          <w:ilvl w:val="0"/>
          <w:numId w:val="1"/>
        </w:numPr>
        <w:bidi/>
        <w:spacing w:after="0" w:line="240" w:lineRule="auto"/>
        <w:ind w:left="-1"/>
        <w:jc w:val="both"/>
        <w:rPr>
          <w:rFonts w:ascii="Sakkal Majalla" w:hAnsi="Sakkal Majalla" w:cs="Simplified Arabic"/>
          <w:b/>
          <w:bCs/>
          <w:sz w:val="28"/>
          <w:szCs w:val="28"/>
          <w:lang w:bidi="ar-DZ"/>
        </w:rPr>
      </w:pPr>
      <w:r w:rsidRPr="002F43C7">
        <w:rPr>
          <w:rFonts w:ascii="Sakkal Majalla" w:hAnsi="Sakkal Majalla" w:cs="Simplified Arabic"/>
          <w:sz w:val="28"/>
          <w:szCs w:val="28"/>
          <w:rtl/>
          <w:lang w:bidi="ar-DZ"/>
        </w:rPr>
        <w:t>أما في مجال المنافسة وحيث أن القانون يمنع الممارسات المقيدة للمنافسة مثل الاحتكارات والوضعيات المهيمنة وغيرها</w:t>
      </w:r>
      <w:r w:rsidR="002F43C7">
        <w:rPr>
          <w:rFonts w:ascii="Sakkal Majalla" w:hAnsi="Sakkal Majalla" w:cs="Simplified Arabic" w:hint="cs"/>
          <w:sz w:val="28"/>
          <w:szCs w:val="28"/>
          <w:rtl/>
          <w:lang w:bidi="ar-DZ"/>
        </w:rPr>
        <w:t>.</w:t>
      </w:r>
    </w:p>
    <w:p w:rsidR="003563BB" w:rsidRPr="002F43C7" w:rsidRDefault="003563BB" w:rsidP="003563BB">
      <w:pPr>
        <w:bidi/>
        <w:spacing w:after="0" w:line="240" w:lineRule="auto"/>
        <w:ind w:left="-361"/>
        <w:jc w:val="both"/>
        <w:rPr>
          <w:rFonts w:ascii="Sakkal Majalla" w:hAnsi="Sakkal Majalla" w:cs="Simplified Arabic"/>
          <w:b/>
          <w:bCs/>
          <w:sz w:val="28"/>
          <w:szCs w:val="28"/>
          <w:lang w:bidi="ar-DZ"/>
        </w:rPr>
      </w:pPr>
    </w:p>
    <w:p w:rsidR="003563BB" w:rsidRPr="002511DA" w:rsidRDefault="003563BB" w:rsidP="003563BB">
      <w:pPr>
        <w:pStyle w:val="Paragraphedeliste"/>
        <w:bidi/>
        <w:spacing w:after="0" w:line="240" w:lineRule="auto"/>
        <w:ind w:left="0"/>
        <w:jc w:val="both"/>
        <w:rPr>
          <w:rFonts w:ascii="Sakkal Majalla" w:hAnsi="Sakkal Majalla" w:cs="Simplified Arabic"/>
          <w:sz w:val="28"/>
          <w:szCs w:val="28"/>
          <w:rtl/>
          <w:lang w:bidi="ar-DZ"/>
        </w:rPr>
      </w:pPr>
      <w:r w:rsidRPr="002511DA">
        <w:rPr>
          <w:rFonts w:ascii="Sakkal Majalla" w:hAnsi="Sakkal Majalla" w:cs="Simplified Arabic"/>
          <w:sz w:val="28"/>
          <w:szCs w:val="28"/>
          <w:rtl/>
          <w:lang w:bidi="ar-DZ"/>
        </w:rPr>
        <w:t xml:space="preserve">- آليات تدخل السلطات الإدارية المستقلة في مجال رقابة السوق: </w:t>
      </w:r>
    </w:p>
    <w:p w:rsidR="003563BB" w:rsidRPr="00CE242D" w:rsidRDefault="003563BB" w:rsidP="003563BB">
      <w:pPr>
        <w:pStyle w:val="Paragraphedeliste"/>
        <w:bidi/>
        <w:spacing w:after="0" w:line="240" w:lineRule="auto"/>
        <w:ind w:left="0"/>
        <w:jc w:val="both"/>
        <w:rPr>
          <w:rFonts w:ascii="Sakkal Majalla" w:hAnsi="Sakkal Majalla" w:cs="Simplified Arabic"/>
          <w:sz w:val="28"/>
          <w:szCs w:val="28"/>
          <w:rtl/>
          <w:lang w:bidi="ar-DZ"/>
        </w:rPr>
      </w:pPr>
      <w:r w:rsidRPr="00CE242D">
        <w:rPr>
          <w:rFonts w:ascii="Sakkal Majalla" w:hAnsi="Sakkal Majalla" w:cs="Simplified Arabic" w:hint="cs"/>
          <w:b/>
          <w:bCs/>
          <w:sz w:val="28"/>
          <w:szCs w:val="28"/>
          <w:rtl/>
          <w:lang w:bidi="ar-DZ"/>
        </w:rPr>
        <w:lastRenderedPageBreak/>
        <w:tab/>
      </w:r>
      <w:r w:rsidRPr="00CE242D">
        <w:rPr>
          <w:rFonts w:ascii="Sakkal Majalla" w:hAnsi="Sakkal Majalla" w:cs="Simplified Arabic"/>
          <w:sz w:val="28"/>
          <w:szCs w:val="28"/>
          <w:rtl/>
          <w:lang w:bidi="ar-DZ"/>
        </w:rPr>
        <w:t>تهدف رقابة السوق إلى رقابة حسن سير السوق والمنافسة من جهة، وضمان تطبيق القواعد القانونية الضابطة للسوق من جهة أخرى، سواء كانت هذه القواعد صادرة عن السلطات العمومية أو صادرة عن السلطات الإدارية المستقلة ذاتها، وضمان حماية حقوق الأشخاص سواء كانوا أفراد أو مؤسسات أو متدخلين في السوق عموما. وفي إطار مهامها الرقابية تملك السلطات الإدارية المستقلة وسائل تحقيق  تتمثل أهمها في:</w:t>
      </w:r>
    </w:p>
    <w:p w:rsidR="003563BB" w:rsidRPr="00CE242D" w:rsidRDefault="003563BB" w:rsidP="003563BB">
      <w:pPr>
        <w:pStyle w:val="Paragraphedeliste"/>
        <w:numPr>
          <w:ilvl w:val="0"/>
          <w:numId w:val="1"/>
        </w:numPr>
        <w:bidi/>
        <w:spacing w:after="0" w:line="240" w:lineRule="auto"/>
        <w:ind w:left="-1"/>
        <w:jc w:val="both"/>
        <w:rPr>
          <w:rFonts w:ascii="Sakkal Majalla" w:hAnsi="Sakkal Majalla" w:cs="Simplified Arabic"/>
          <w:sz w:val="28"/>
          <w:szCs w:val="28"/>
          <w:lang w:bidi="ar-DZ"/>
        </w:rPr>
      </w:pPr>
      <w:r w:rsidRPr="00CE242D">
        <w:rPr>
          <w:rFonts w:ascii="Sakkal Majalla" w:hAnsi="Sakkal Majalla" w:cs="Simplified Arabic"/>
          <w:sz w:val="28"/>
          <w:szCs w:val="28"/>
          <w:rtl/>
          <w:lang w:bidi="ar-DZ"/>
        </w:rPr>
        <w:t>طلب الإطلاع على جميع الوثائق الضرورية للتحقيق والدخول والنفاذ إلى جميع الأماكن ذات الاستعمال المهني    ( أو أراضي أو تجهيزات).</w:t>
      </w:r>
    </w:p>
    <w:p w:rsidR="003563BB" w:rsidRPr="00CE242D" w:rsidRDefault="003563BB" w:rsidP="003563BB">
      <w:pPr>
        <w:pStyle w:val="Paragraphedeliste"/>
        <w:numPr>
          <w:ilvl w:val="0"/>
          <w:numId w:val="1"/>
        </w:numPr>
        <w:bidi/>
        <w:spacing w:after="0" w:line="240" w:lineRule="auto"/>
        <w:ind w:left="-1"/>
        <w:jc w:val="both"/>
        <w:rPr>
          <w:rFonts w:ascii="Sakkal Majalla" w:hAnsi="Sakkal Majalla" w:cs="Simplified Arabic"/>
          <w:sz w:val="28"/>
          <w:szCs w:val="28"/>
          <w:lang w:bidi="ar-DZ"/>
        </w:rPr>
      </w:pPr>
      <w:r w:rsidRPr="00CE242D">
        <w:rPr>
          <w:rFonts w:ascii="Sakkal Majalla" w:hAnsi="Sakkal Majalla" w:cs="Simplified Arabic"/>
          <w:sz w:val="28"/>
          <w:szCs w:val="28"/>
          <w:rtl/>
          <w:lang w:bidi="ar-DZ"/>
        </w:rPr>
        <w:t>استدعاء الأشخاص وطلب كل المعلومات أو التبريرات الضرورية.</w:t>
      </w:r>
    </w:p>
    <w:p w:rsidR="003563BB" w:rsidRPr="002511DA" w:rsidRDefault="003563BB" w:rsidP="003563BB">
      <w:pPr>
        <w:pStyle w:val="Titre6"/>
        <w:bidi/>
        <w:spacing w:line="240" w:lineRule="auto"/>
        <w:ind w:left="-1"/>
        <w:rPr>
          <w:rFonts w:ascii="Sakkal Majalla" w:hAnsi="Sakkal Majalla" w:cs="Simplified Arabic"/>
          <w:i w:val="0"/>
          <w:iCs w:val="0"/>
          <w:color w:val="auto"/>
          <w:sz w:val="28"/>
          <w:szCs w:val="28"/>
          <w:rtl/>
          <w:lang w:bidi="ar-DZ"/>
        </w:rPr>
      </w:pPr>
      <w:bookmarkStart w:id="0" w:name="_Toc396553940"/>
      <w:r w:rsidRPr="002511DA">
        <w:rPr>
          <w:rFonts w:ascii="Sakkal Majalla" w:hAnsi="Sakkal Majalla" w:cs="Simplified Arabic"/>
          <w:i w:val="0"/>
          <w:iCs w:val="0"/>
          <w:color w:val="auto"/>
          <w:sz w:val="28"/>
          <w:szCs w:val="28"/>
          <w:rtl/>
          <w:lang w:bidi="ar-DZ"/>
        </w:rPr>
        <w:t>- صلاحيات التدخل الممنوحة للسلطات الإدارية المستقلة لتصحيح الأوضاع غير المشروعة.</w:t>
      </w:r>
      <w:bookmarkEnd w:id="0"/>
    </w:p>
    <w:p w:rsidR="003563BB" w:rsidRPr="00CE242D" w:rsidRDefault="003563BB" w:rsidP="003563BB">
      <w:pPr>
        <w:bidi/>
        <w:spacing w:after="0" w:line="240" w:lineRule="auto"/>
        <w:ind w:left="-1" w:firstLine="708"/>
        <w:jc w:val="both"/>
        <w:rPr>
          <w:rFonts w:ascii="Sakkal Majalla" w:hAnsi="Sakkal Majalla" w:cs="Simplified Arabic"/>
          <w:b/>
          <w:bCs/>
          <w:sz w:val="28"/>
          <w:szCs w:val="28"/>
          <w:rtl/>
          <w:lang w:bidi="ar-DZ"/>
        </w:rPr>
      </w:pPr>
      <w:r w:rsidRPr="00CE242D">
        <w:rPr>
          <w:rFonts w:ascii="Sakkal Majalla" w:hAnsi="Sakkal Majalla" w:cs="Simplified Arabic"/>
          <w:sz w:val="28"/>
          <w:szCs w:val="28"/>
          <w:rtl/>
          <w:lang w:bidi="ar-DZ"/>
        </w:rPr>
        <w:t xml:space="preserve">عندما تكتشف إحدى السلطات الإدارية المستقلة حدوث مخالفات معينة، وبعد تحققها بوسائل التحقيق التي منحها إياها المشرع، تبادر إلى التدخل حسب الحالة إما لتحذير المؤسسة المعنية بالتصرف بتوجيه مجرد ملاحظات أو إنذارات أو تحذيرات أو حتى توصيات، وقد تصل قوة تدخلاتها إلى حد توجيه أوامر وإعذارات لتصحيح الأوضاع غير المشروعة. </w:t>
      </w:r>
    </w:p>
    <w:p w:rsidR="003563BB" w:rsidRPr="00B651D6" w:rsidRDefault="00B651D6" w:rsidP="00B651D6">
      <w:pPr>
        <w:bidi/>
        <w:spacing w:after="0" w:line="240" w:lineRule="auto"/>
        <w:jc w:val="both"/>
        <w:rPr>
          <w:rFonts w:ascii="Sakkal Majalla" w:hAnsi="Sakkal Majalla" w:cs="Simplified Arabic"/>
          <w:sz w:val="28"/>
          <w:szCs w:val="28"/>
          <w:rtl/>
          <w:lang w:bidi="ar-DZ"/>
        </w:rPr>
      </w:pPr>
      <w:r>
        <w:rPr>
          <w:rFonts w:ascii="Sakkal Majalla" w:hAnsi="Sakkal Majalla" w:cs="Simplified Arabic" w:hint="cs"/>
          <w:sz w:val="28"/>
          <w:szCs w:val="28"/>
          <w:rtl/>
          <w:lang w:bidi="ar-DZ"/>
        </w:rPr>
        <w:t>و</w:t>
      </w:r>
      <w:r w:rsidR="003563BB" w:rsidRPr="00B651D6">
        <w:rPr>
          <w:rFonts w:ascii="Sakkal Majalla" w:hAnsi="Sakkal Majalla" w:cs="Simplified Arabic"/>
          <w:sz w:val="28"/>
          <w:szCs w:val="28"/>
          <w:rtl/>
          <w:lang w:bidi="ar-DZ"/>
        </w:rPr>
        <w:t xml:space="preserve">من بين السلطات الإدارية المستقلة التي منحها المشرع الجزائري صلاحية توجيه الأوامر والاعذارات للمتعاملين أو المؤسسات المعنية بالتصرفات غير المشروعة للكف عن تلك التصرفات، أو تصحيح الوضع قبل اللجوء في حالة التعنت إلى إصدار قرارات عقابية، هي اللجنة المصرفية ، لجنة تنظيم ومراقبة عمليات البورصة ومجلس المنافسة </w:t>
      </w:r>
    </w:p>
    <w:p w:rsidR="002511DA" w:rsidRDefault="002511DA" w:rsidP="003563BB">
      <w:pPr>
        <w:bidi/>
        <w:spacing w:after="0" w:line="240" w:lineRule="auto"/>
        <w:ind w:left="-1" w:firstLine="708"/>
        <w:jc w:val="both"/>
        <w:rPr>
          <w:rFonts w:ascii="Sakkal Majalla" w:hAnsi="Sakkal Majalla" w:cs="Simplified Arabic" w:hint="cs"/>
          <w:b/>
          <w:bCs/>
          <w:sz w:val="28"/>
          <w:szCs w:val="28"/>
          <w:rtl/>
          <w:lang w:bidi="ar-DZ"/>
        </w:rPr>
      </w:pPr>
    </w:p>
    <w:p w:rsidR="003563BB" w:rsidRPr="00CE242D" w:rsidRDefault="002511DA" w:rsidP="002511DA">
      <w:pPr>
        <w:bidi/>
        <w:spacing w:after="0" w:line="240" w:lineRule="auto"/>
        <w:ind w:left="-1" w:firstLine="708"/>
        <w:jc w:val="both"/>
        <w:rPr>
          <w:rFonts w:ascii="Sakkal Majalla" w:hAnsi="Sakkal Majalla" w:cs="Simplified Arabic"/>
          <w:sz w:val="28"/>
          <w:szCs w:val="28"/>
          <w:rtl/>
          <w:lang w:bidi="ar-DZ"/>
        </w:rPr>
      </w:pPr>
      <w:r w:rsidRPr="002511DA">
        <w:rPr>
          <w:rFonts w:ascii="Sakkal Majalla" w:hAnsi="Sakkal Majalla" w:cs="Simplified Arabic" w:hint="cs"/>
          <w:sz w:val="28"/>
          <w:szCs w:val="28"/>
          <w:rtl/>
          <w:lang w:bidi="ar-DZ"/>
        </w:rPr>
        <w:t>ولقد</w:t>
      </w:r>
      <w:r>
        <w:rPr>
          <w:rFonts w:ascii="Sakkal Majalla" w:hAnsi="Sakkal Majalla" w:cs="Simplified Arabic" w:hint="cs"/>
          <w:b/>
          <w:bCs/>
          <w:sz w:val="28"/>
          <w:szCs w:val="28"/>
          <w:rtl/>
          <w:lang w:bidi="ar-DZ"/>
        </w:rPr>
        <w:t xml:space="preserve"> </w:t>
      </w:r>
      <w:r w:rsidR="003563BB" w:rsidRPr="00CE242D">
        <w:rPr>
          <w:rFonts w:ascii="Sakkal Majalla" w:hAnsi="Sakkal Majalla" w:cs="Simplified Arabic"/>
          <w:sz w:val="28"/>
          <w:szCs w:val="28"/>
          <w:rtl/>
          <w:lang w:bidi="ar-DZ"/>
        </w:rPr>
        <w:t>كرس المشرع الجزائري رقابة القاضي الإداري على القرارات الفردية عموما الصادرة عن هذه الهيئات، من دون التمييز بين القرارات المانحة والرافضة لمنح التراخيص والاعتمادات أي المتخذة في إطار رقابة دخول السوق، وهو المبدأ نفسه الذي كرسه المشرع الفرنسي على اعتبار أن الطعون ضد هذه القرارات  من اختصاص مجلس الدولة لأنها تعد قرارات إدارية من دون شك، والقرارات المتخذة في إطار رقابة هذه الهيئات للسوق لضمان احترام النصوص التشريعية والتنظيمية وتصحيح الأوضاع غير المشروعة. وقد ميز الفقه الفرنسي بين الإعذارات والأوامر التي تخضع لرقابة القاضي وغيرها من التدابير مثل التحذيرات والملاحظات التي لا تخضع لرقابته.</w:t>
      </w:r>
    </w:p>
    <w:p w:rsidR="003563BB" w:rsidRDefault="003563BB" w:rsidP="002F43C7">
      <w:pPr>
        <w:bidi/>
        <w:spacing w:after="0" w:line="240" w:lineRule="auto"/>
        <w:ind w:left="-1" w:firstLine="708"/>
        <w:jc w:val="both"/>
        <w:rPr>
          <w:rFonts w:ascii="Sakkal Majalla" w:hAnsi="Sakkal Majalla" w:cs="Simplified Arabic"/>
          <w:sz w:val="28"/>
          <w:szCs w:val="28"/>
          <w:rtl/>
          <w:lang w:bidi="ar-DZ"/>
        </w:rPr>
      </w:pPr>
      <w:r w:rsidRPr="00CE242D">
        <w:rPr>
          <w:rFonts w:ascii="Sakkal Majalla" w:hAnsi="Sakkal Majalla" w:cs="Simplified Arabic"/>
          <w:sz w:val="28"/>
          <w:szCs w:val="28"/>
          <w:rtl/>
          <w:lang w:bidi="ar-DZ"/>
        </w:rPr>
        <w:t>كما أن المشرع الجزائري قد منح الاختصاص لمجلس الدولة بخصوص هذه القرارات الصادرة عن مختلف الهيئات الضابطة ، وكذلك القرارات الصادرة عن مجلس المنافسة المتعلقة برفض التجميع ، باستثناء الطعون ضد القرارات المتضمنة توجيه الأوامر والتدابير المؤقتة المتعلقة بالممارسات المقيدة للمنافسة، والتي منح الاختصاص بشأنها لمجلس قضاء الجزائر الفاص</w:t>
      </w:r>
      <w:r>
        <w:rPr>
          <w:rFonts w:ascii="Sakkal Majalla" w:hAnsi="Sakkal Majalla" w:cs="Simplified Arabic"/>
          <w:sz w:val="28"/>
          <w:szCs w:val="28"/>
          <w:rtl/>
          <w:lang w:bidi="ar-DZ"/>
        </w:rPr>
        <w:t xml:space="preserve">ل في المواد التجارية </w:t>
      </w:r>
    </w:p>
    <w:p w:rsidR="0052062F" w:rsidRDefault="0052062F" w:rsidP="003563BB">
      <w:pPr>
        <w:bidi/>
        <w:rPr>
          <w:lang w:bidi="ar-DZ"/>
        </w:rPr>
      </w:pPr>
    </w:p>
    <w:sectPr w:rsidR="0052062F" w:rsidSect="002511D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1E9" w:rsidRDefault="003B21E9" w:rsidP="00FB30B6">
      <w:pPr>
        <w:spacing w:after="0" w:line="240" w:lineRule="auto"/>
      </w:pPr>
      <w:r>
        <w:separator/>
      </w:r>
    </w:p>
  </w:endnote>
  <w:endnote w:type="continuationSeparator" w:id="1">
    <w:p w:rsidR="003B21E9" w:rsidRDefault="003B21E9" w:rsidP="00FB3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354"/>
      <w:docPartObj>
        <w:docPartGallery w:val="Page Numbers (Bottom of Page)"/>
        <w:docPartUnique/>
      </w:docPartObj>
    </w:sdtPr>
    <w:sdtContent>
      <w:p w:rsidR="00FB30B6" w:rsidRDefault="00FB30B6">
        <w:pPr>
          <w:pStyle w:val="Pieddepage"/>
        </w:pPr>
        <w:fldSimple w:instr=" PAGE   \* MERGEFORMAT ">
          <w:r w:rsidR="001331BF">
            <w:rPr>
              <w:noProof/>
            </w:rPr>
            <w:t>1</w:t>
          </w:r>
        </w:fldSimple>
      </w:p>
    </w:sdtContent>
  </w:sdt>
  <w:p w:rsidR="00FB30B6" w:rsidRDefault="00FB30B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1E9" w:rsidRDefault="003B21E9" w:rsidP="00FB30B6">
      <w:pPr>
        <w:spacing w:after="0" w:line="240" w:lineRule="auto"/>
      </w:pPr>
      <w:r>
        <w:separator/>
      </w:r>
    </w:p>
  </w:footnote>
  <w:footnote w:type="continuationSeparator" w:id="1">
    <w:p w:rsidR="003B21E9" w:rsidRDefault="003B21E9" w:rsidP="00FB3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C3D32"/>
    <w:multiLevelType w:val="hybridMultilevel"/>
    <w:tmpl w:val="EAA446AE"/>
    <w:lvl w:ilvl="0" w:tplc="040C0001">
      <w:start w:val="1"/>
      <w:numFmt w:val="bullet"/>
      <w:lvlText w:val=""/>
      <w:lvlJc w:val="left"/>
      <w:pPr>
        <w:ind w:left="1532" w:hanging="360"/>
      </w:pPr>
      <w:rPr>
        <w:rFonts w:ascii="Symbol" w:hAnsi="Symbol" w:hint="default"/>
      </w:rPr>
    </w:lvl>
    <w:lvl w:ilvl="1" w:tplc="040C0003" w:tentative="1">
      <w:start w:val="1"/>
      <w:numFmt w:val="bullet"/>
      <w:lvlText w:val="o"/>
      <w:lvlJc w:val="left"/>
      <w:pPr>
        <w:ind w:left="2252" w:hanging="360"/>
      </w:pPr>
      <w:rPr>
        <w:rFonts w:ascii="Courier New" w:hAnsi="Courier New" w:cs="Courier New" w:hint="default"/>
      </w:rPr>
    </w:lvl>
    <w:lvl w:ilvl="2" w:tplc="040C0005" w:tentative="1">
      <w:start w:val="1"/>
      <w:numFmt w:val="bullet"/>
      <w:lvlText w:val=""/>
      <w:lvlJc w:val="left"/>
      <w:pPr>
        <w:ind w:left="2972" w:hanging="360"/>
      </w:pPr>
      <w:rPr>
        <w:rFonts w:ascii="Wingdings" w:hAnsi="Wingdings" w:hint="default"/>
      </w:rPr>
    </w:lvl>
    <w:lvl w:ilvl="3" w:tplc="040C0001" w:tentative="1">
      <w:start w:val="1"/>
      <w:numFmt w:val="bullet"/>
      <w:lvlText w:val=""/>
      <w:lvlJc w:val="left"/>
      <w:pPr>
        <w:ind w:left="3692" w:hanging="360"/>
      </w:pPr>
      <w:rPr>
        <w:rFonts w:ascii="Symbol" w:hAnsi="Symbol" w:hint="default"/>
      </w:rPr>
    </w:lvl>
    <w:lvl w:ilvl="4" w:tplc="040C0003" w:tentative="1">
      <w:start w:val="1"/>
      <w:numFmt w:val="bullet"/>
      <w:lvlText w:val="o"/>
      <w:lvlJc w:val="left"/>
      <w:pPr>
        <w:ind w:left="4412" w:hanging="360"/>
      </w:pPr>
      <w:rPr>
        <w:rFonts w:ascii="Courier New" w:hAnsi="Courier New" w:cs="Courier New" w:hint="default"/>
      </w:rPr>
    </w:lvl>
    <w:lvl w:ilvl="5" w:tplc="040C0005" w:tentative="1">
      <w:start w:val="1"/>
      <w:numFmt w:val="bullet"/>
      <w:lvlText w:val=""/>
      <w:lvlJc w:val="left"/>
      <w:pPr>
        <w:ind w:left="5132" w:hanging="360"/>
      </w:pPr>
      <w:rPr>
        <w:rFonts w:ascii="Wingdings" w:hAnsi="Wingdings" w:hint="default"/>
      </w:rPr>
    </w:lvl>
    <w:lvl w:ilvl="6" w:tplc="040C0001" w:tentative="1">
      <w:start w:val="1"/>
      <w:numFmt w:val="bullet"/>
      <w:lvlText w:val=""/>
      <w:lvlJc w:val="left"/>
      <w:pPr>
        <w:ind w:left="5852" w:hanging="360"/>
      </w:pPr>
      <w:rPr>
        <w:rFonts w:ascii="Symbol" w:hAnsi="Symbol" w:hint="default"/>
      </w:rPr>
    </w:lvl>
    <w:lvl w:ilvl="7" w:tplc="040C0003" w:tentative="1">
      <w:start w:val="1"/>
      <w:numFmt w:val="bullet"/>
      <w:lvlText w:val="o"/>
      <w:lvlJc w:val="left"/>
      <w:pPr>
        <w:ind w:left="6572" w:hanging="360"/>
      </w:pPr>
      <w:rPr>
        <w:rFonts w:ascii="Courier New" w:hAnsi="Courier New" w:cs="Courier New" w:hint="default"/>
      </w:rPr>
    </w:lvl>
    <w:lvl w:ilvl="8" w:tplc="040C0005" w:tentative="1">
      <w:start w:val="1"/>
      <w:numFmt w:val="bullet"/>
      <w:lvlText w:val=""/>
      <w:lvlJc w:val="left"/>
      <w:pPr>
        <w:ind w:left="7292" w:hanging="360"/>
      </w:pPr>
      <w:rPr>
        <w:rFonts w:ascii="Wingdings" w:hAnsi="Wingdings" w:hint="default"/>
      </w:rPr>
    </w:lvl>
  </w:abstractNum>
  <w:abstractNum w:abstractNumId="1">
    <w:nsid w:val="339F20B4"/>
    <w:multiLevelType w:val="hybridMultilevel"/>
    <w:tmpl w:val="C936A7A2"/>
    <w:lvl w:ilvl="0" w:tplc="DA50B42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B83EFE"/>
    <w:multiLevelType w:val="hybridMultilevel"/>
    <w:tmpl w:val="BFBE4E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563BB"/>
    <w:rsid w:val="000B1893"/>
    <w:rsid w:val="001331BF"/>
    <w:rsid w:val="002511DA"/>
    <w:rsid w:val="002F43C7"/>
    <w:rsid w:val="003563BB"/>
    <w:rsid w:val="003B21E9"/>
    <w:rsid w:val="0052062F"/>
    <w:rsid w:val="00B651D6"/>
    <w:rsid w:val="00DA2FE4"/>
    <w:rsid w:val="00FB30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BB"/>
  </w:style>
  <w:style w:type="paragraph" w:styleId="Titre6">
    <w:name w:val="heading 6"/>
    <w:basedOn w:val="Normal"/>
    <w:next w:val="Normal"/>
    <w:link w:val="Titre6Car"/>
    <w:uiPriority w:val="9"/>
    <w:unhideWhenUsed/>
    <w:qFormat/>
    <w:rsid w:val="003563BB"/>
    <w:pPr>
      <w:keepNext/>
      <w:keepLines/>
      <w:spacing w:before="200" w:after="0"/>
      <w:ind w:left="11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3563BB"/>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qFormat/>
    <w:rsid w:val="003563BB"/>
    <w:pPr>
      <w:spacing w:after="100"/>
      <w:ind w:left="720"/>
      <w:contextualSpacing/>
    </w:pPr>
  </w:style>
  <w:style w:type="paragraph" w:styleId="En-tte">
    <w:name w:val="header"/>
    <w:basedOn w:val="Normal"/>
    <w:link w:val="En-tteCar"/>
    <w:uiPriority w:val="99"/>
    <w:semiHidden/>
    <w:unhideWhenUsed/>
    <w:rsid w:val="00FB30B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30B6"/>
  </w:style>
  <w:style w:type="paragraph" w:styleId="Pieddepage">
    <w:name w:val="footer"/>
    <w:basedOn w:val="Normal"/>
    <w:link w:val="PieddepageCar"/>
    <w:uiPriority w:val="99"/>
    <w:unhideWhenUsed/>
    <w:rsid w:val="00FB30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0B6"/>
  </w:style>
</w:styles>
</file>

<file path=word/webSettings.xml><?xml version="1.0" encoding="utf-8"?>
<w:webSettings xmlns:r="http://schemas.openxmlformats.org/officeDocument/2006/relationships" xmlns:w="http://schemas.openxmlformats.org/wordprocessingml/2006/main">
  <w:divs>
    <w:div w:id="6195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4E57-3D91-42C4-9C75-85D6665F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612</Words>
  <Characters>3371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2026-01-13T17:38:00Z</dcterms:created>
  <dcterms:modified xsi:type="dcterms:W3CDTF">2026-01-13T18:00:00Z</dcterms:modified>
</cp:coreProperties>
</file>