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CE0E8D" w:rsidRDefault="00335425" w:rsidP="00F217D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331EFB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7BFFF159" wp14:editId="24DAEE67">
            <wp:simplePos x="0" y="0"/>
            <wp:positionH relativeFrom="column">
              <wp:posOffset>396875</wp:posOffset>
            </wp:positionH>
            <wp:positionV relativeFrom="paragraph">
              <wp:posOffset>-169545</wp:posOffset>
            </wp:positionV>
            <wp:extent cx="1958340" cy="1186815"/>
            <wp:effectExtent l="0" t="0" r="0" b="0"/>
            <wp:wrapSquare wrapText="bothSides"/>
            <wp:docPr id="1" name="Image 1" descr="C:\Users\bb\Desktop\104320158_103397198091128_812520437240517623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\Desktop\104320158_103397198091128_8125204372405176237_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17DA" w:rsidRDefault="00F217DA" w:rsidP="00CE0E8D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F217DA" w:rsidRDefault="00F217DA" w:rsidP="00CE0E8D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335425" w:rsidRDefault="00335425" w:rsidP="00F217DA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CE0E8D" w:rsidRPr="00CE0E8D" w:rsidRDefault="00CE0E8D" w:rsidP="003354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proofErr w:type="spellStart"/>
      <w:r w:rsidRPr="00CE0E8D">
        <w:rPr>
          <w:rFonts w:asciiTheme="majorBidi" w:hAnsiTheme="majorBidi" w:cstheme="majorBidi"/>
          <w:b/>
          <w:bCs/>
          <w:sz w:val="32"/>
          <w:szCs w:val="32"/>
          <w:lang w:bidi="ar-DZ"/>
        </w:rPr>
        <w:t>University</w:t>
      </w:r>
      <w:proofErr w:type="spellEnd"/>
      <w:r w:rsidRPr="00CE0E8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of Oum El </w:t>
      </w:r>
      <w:proofErr w:type="spellStart"/>
      <w:r w:rsidRPr="00CE0E8D">
        <w:rPr>
          <w:rFonts w:asciiTheme="majorBidi" w:hAnsiTheme="majorBidi" w:cstheme="majorBidi"/>
          <w:b/>
          <w:bCs/>
          <w:sz w:val="32"/>
          <w:szCs w:val="32"/>
          <w:lang w:bidi="ar-DZ"/>
        </w:rPr>
        <w:t>Bouaghi</w:t>
      </w:r>
      <w:proofErr w:type="spellEnd"/>
    </w:p>
    <w:p w:rsidR="00CE0E8D" w:rsidRPr="00335425" w:rsidRDefault="00CE0E8D" w:rsidP="003354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b/>
          <w:bCs/>
          <w:sz w:val="28"/>
          <w:szCs w:val="28"/>
          <w:lang w:bidi="ar-DZ"/>
        </w:rPr>
        <w:t>Faculty</w:t>
      </w:r>
      <w:proofErr w:type="spellEnd"/>
      <w:r w:rsidRPr="003354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of Law and </w:t>
      </w:r>
      <w:proofErr w:type="spellStart"/>
      <w:r w:rsidRPr="00335425">
        <w:rPr>
          <w:rFonts w:asciiTheme="majorBidi" w:hAnsiTheme="majorBidi" w:cstheme="majorBidi"/>
          <w:b/>
          <w:bCs/>
          <w:sz w:val="28"/>
          <w:szCs w:val="28"/>
          <w:lang w:bidi="ar-DZ"/>
        </w:rPr>
        <w:t>Political</w:t>
      </w:r>
      <w:proofErr w:type="spellEnd"/>
      <w:r w:rsidRPr="003354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Science</w:t>
      </w:r>
    </w:p>
    <w:p w:rsidR="00CE0E8D" w:rsidRPr="00335425" w:rsidRDefault="00CE0E8D" w:rsidP="003354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b/>
          <w:bCs/>
          <w:sz w:val="28"/>
          <w:szCs w:val="28"/>
          <w:lang w:bidi="ar-DZ"/>
        </w:rPr>
        <w:t>Department</w:t>
      </w:r>
      <w:proofErr w:type="spellEnd"/>
      <w:r w:rsidRPr="003354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of Law</w:t>
      </w:r>
    </w:p>
    <w:p w:rsidR="00CE0E8D" w:rsidRPr="00CE0E8D" w:rsidRDefault="00CE0E8D" w:rsidP="003354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CE0E8D" w:rsidRPr="00335425" w:rsidRDefault="00CE0E8D" w:rsidP="003354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b/>
          <w:bCs/>
          <w:sz w:val="28"/>
          <w:szCs w:val="28"/>
          <w:lang w:bidi="ar-DZ"/>
        </w:rPr>
        <w:t>Organizes</w:t>
      </w:r>
      <w:proofErr w:type="spellEnd"/>
    </w:p>
    <w:p w:rsidR="00CE0E8D" w:rsidRPr="00CE0E8D" w:rsidRDefault="00CE0E8D" w:rsidP="00F217DA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CE0E8D" w:rsidRPr="00CE0E8D" w:rsidRDefault="00CE0E8D" w:rsidP="003354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E0E8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A </w:t>
      </w:r>
      <w:proofErr w:type="spellStart"/>
      <w:r w:rsidRPr="00CE0E8D">
        <w:rPr>
          <w:rFonts w:asciiTheme="majorBidi" w:hAnsiTheme="majorBidi" w:cstheme="majorBidi"/>
          <w:b/>
          <w:bCs/>
          <w:sz w:val="32"/>
          <w:szCs w:val="32"/>
          <w:lang w:bidi="ar-DZ"/>
        </w:rPr>
        <w:t>Study</w:t>
      </w:r>
      <w:proofErr w:type="spellEnd"/>
      <w:r w:rsidRPr="00CE0E8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Day on</w:t>
      </w:r>
    </w:p>
    <w:p w:rsidR="00CE0E8D" w:rsidRPr="00335425" w:rsidRDefault="00CE0E8D" w:rsidP="00F217DA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color w:val="FF0000"/>
          <w:sz w:val="52"/>
          <w:szCs w:val="52"/>
          <w:lang w:bidi="ar-DZ"/>
        </w:rPr>
      </w:pP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52"/>
          <w:szCs w:val="52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52"/>
          <w:szCs w:val="52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52"/>
          <w:szCs w:val="52"/>
          <w:lang w:bidi="ar-DZ"/>
        </w:rPr>
        <w:t>Equality</w:t>
      </w:r>
      <w:proofErr w:type="spellEnd"/>
    </w:p>
    <w:p w:rsidR="00CE0E8D" w:rsidRDefault="00CE0E8D" w:rsidP="00F217DA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CE0E8D" w:rsidRPr="00CE0E8D" w:rsidRDefault="00CE0E8D" w:rsidP="003354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proofErr w:type="spellStart"/>
      <w:r w:rsidRPr="00CE0E8D">
        <w:rPr>
          <w:rFonts w:asciiTheme="majorBidi" w:hAnsiTheme="majorBidi" w:cstheme="majorBidi"/>
          <w:b/>
          <w:bCs/>
          <w:sz w:val="32"/>
          <w:szCs w:val="32"/>
          <w:lang w:bidi="ar-DZ"/>
        </w:rPr>
        <w:t>December</w:t>
      </w:r>
      <w:proofErr w:type="spellEnd"/>
      <w:r w:rsidRPr="00CE0E8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15, 2025</w:t>
      </w:r>
    </w:p>
    <w:p w:rsidR="00CE0E8D" w:rsidRDefault="00CE0E8D" w:rsidP="00335425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E0E8D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9:30</w:t>
      </w:r>
    </w:p>
    <w:p w:rsidR="00F217DA" w:rsidRDefault="00F217DA" w:rsidP="00CE0E8D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335425" w:rsidRDefault="00335425" w:rsidP="0033542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CE0E8D" w:rsidRDefault="00CE0E8D" w:rsidP="00F217DA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CE0E8D" w:rsidRPr="00335425" w:rsidRDefault="00CE0E8D" w:rsidP="00CE0E8D">
      <w:pPr>
        <w:bidi/>
        <w:spacing w:after="0"/>
        <w:jc w:val="center"/>
        <w:rPr>
          <w:rFonts w:asciiTheme="majorBidi" w:hAnsiTheme="majorBidi" w:cstheme="majorBidi"/>
          <w:b/>
          <w:bCs/>
          <w:sz w:val="2"/>
          <w:szCs w:val="2"/>
          <w:lang w:bidi="ar-DZ"/>
        </w:rPr>
      </w:pPr>
    </w:p>
    <w:p w:rsidR="00CE0E8D" w:rsidRPr="00335425" w:rsidRDefault="00CE0E8D" w:rsidP="00335425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</w:pP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lastRenderedPageBreak/>
        <w:t>Supervisory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Committee</w:t>
      </w:r>
      <w:proofErr w:type="spellEnd"/>
    </w:p>
    <w:p w:rsidR="00CE0E8D" w:rsidRPr="00335425" w:rsidRDefault="00CE0E8D" w:rsidP="00335425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Honorary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President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: Prof. Dr.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Dibi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Zouhair</w:t>
      </w:r>
      <w:proofErr w:type="spellEnd"/>
    </w:p>
    <w:p w:rsidR="00CE0E8D" w:rsidRPr="00335425" w:rsidRDefault="00CE0E8D" w:rsidP="00335425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General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Supervisor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: Dr.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Manna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 Murad</w:t>
      </w:r>
    </w:p>
    <w:p w:rsidR="00CE0E8D" w:rsidRPr="00335425" w:rsidRDefault="00CE0E8D" w:rsidP="00335425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Chair of the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Study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 Day: Prof.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Boudarbala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Mouni</w:t>
      </w:r>
      <w:proofErr w:type="spellEnd"/>
    </w:p>
    <w:p w:rsidR="00CE0E8D" w:rsidRPr="00335425" w:rsidRDefault="00CE0E8D" w:rsidP="00CE0E8D">
      <w:pPr>
        <w:spacing w:after="0"/>
        <w:jc w:val="both"/>
        <w:rPr>
          <w:rFonts w:asciiTheme="majorBidi" w:hAnsiTheme="majorBidi" w:cstheme="majorBidi"/>
          <w:b/>
          <w:bCs/>
          <w:sz w:val="8"/>
          <w:szCs w:val="8"/>
          <w:lang w:bidi="ar-DZ"/>
        </w:rPr>
      </w:pPr>
    </w:p>
    <w:p w:rsidR="00CE0E8D" w:rsidRPr="00335425" w:rsidRDefault="00CE0E8D" w:rsidP="00335425">
      <w:pPr>
        <w:ind w:firstLine="708"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Women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represent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half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humanity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and as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such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they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are an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partner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world’s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energies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potential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Therefore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not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only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inherent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human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right, but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also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 indispensable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pillar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for building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societies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peace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prevails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sustainable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development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flourishes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human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energies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fully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realized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. It has been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proven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empowering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women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drives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productivity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and fuels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economic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growth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CE0E8D" w:rsidRPr="00335425" w:rsidRDefault="00CE0E8D" w:rsidP="00335425">
      <w:pPr>
        <w:ind w:firstLine="708"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besides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being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fundamental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human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right,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necessary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foundation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for a world of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peace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prosperity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sustainability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. It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one of the United Nations'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development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goals,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inequality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measured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annually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by the </w:t>
      </w:r>
      <w:r w:rsidRPr="00335425">
        <w:rPr>
          <w:rFonts w:asciiTheme="majorBidi" w:hAnsiTheme="majorBidi" w:cstheme="majorBidi"/>
          <w:sz w:val="28"/>
          <w:szCs w:val="28"/>
          <w:lang w:bidi="ar-DZ"/>
        </w:rPr>
        <w:lastRenderedPageBreak/>
        <w:t xml:space="preserve">United Nations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Development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Programme's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Human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Development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Reports Programme.</w:t>
      </w:r>
    </w:p>
    <w:p w:rsidR="00CE0E8D" w:rsidRPr="00335425" w:rsidRDefault="00CE0E8D" w:rsidP="00335425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International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commitments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promote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have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yielded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improvements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some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areas,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women's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representation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political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arena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higher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ever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before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CE0E8D" w:rsidRPr="00335425" w:rsidRDefault="00CE0E8D" w:rsidP="00335425">
      <w:pPr>
        <w:spacing w:after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But the promise of a world in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which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every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woman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and girl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enjoys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full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and all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legal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social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economic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barriers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empowerment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are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eliminated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has not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yet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been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realized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reality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may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further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away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than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ever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especially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after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setback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caused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by the COVID-19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pandemic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18277C" w:rsidRPr="00335425" w:rsidRDefault="0018277C" w:rsidP="00335425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Despite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progress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made over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past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decades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the world has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veered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off course to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achieve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by 2030.</w:t>
      </w:r>
    </w:p>
    <w:p w:rsidR="00CE0E8D" w:rsidRPr="00335425" w:rsidRDefault="0018277C" w:rsidP="00335425">
      <w:pPr>
        <w:ind w:firstLine="708"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current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rate,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will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take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the world 286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close the gaps in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legal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protection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eliminate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lastRenderedPageBreak/>
        <w:t>discriminatory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laws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140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achieve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representation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for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women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positions of power and leadership in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workplace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and 47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achieve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representation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national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parliaments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CE0E8D" w:rsidRPr="00335425" w:rsidRDefault="0018277C" w:rsidP="00335425">
      <w:pPr>
        <w:ind w:firstLine="708"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the national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level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Algeria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has made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great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efforts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taken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broad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steps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eliminate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everything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hinders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all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levels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efforts have been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dedicated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amendments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ensure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bridging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gap in relevant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legislation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leading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the lifting of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reservations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on the CEDAW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treaty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643656" w:rsidRPr="00335425" w:rsidRDefault="00643656" w:rsidP="00335425">
      <w:pPr>
        <w:spacing w:after="0"/>
        <w:ind w:firstLine="708"/>
        <w:rPr>
          <w:rFonts w:asciiTheme="majorBidi" w:hAnsiTheme="majorBidi" w:cstheme="majorBidi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problem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study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day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643656" w:rsidRPr="00335425" w:rsidRDefault="00643656" w:rsidP="00643656">
      <w:pPr>
        <w:spacing w:after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In light of lifting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reservation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on the CEDAW Convention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2025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amending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the constitution and national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laws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has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Algeria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become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binding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constitutional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text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or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there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still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 gap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between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legislation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actual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judicial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application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that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prevents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actual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lastRenderedPageBreak/>
        <w:t>achievement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, and how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can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Algerian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reforms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reconcile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international obligations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specificity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of Algerian society?</w:t>
      </w:r>
    </w:p>
    <w:p w:rsidR="00643656" w:rsidRPr="00335425" w:rsidRDefault="00643656" w:rsidP="0033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lang w:val="en" w:eastAsia="fr-FR"/>
        </w:rPr>
      </w:pPr>
      <w:r w:rsidRPr="0033542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lang w:val="en" w:eastAsia="fr-FR"/>
        </w:rPr>
        <w:t>Objectives of the Study Day:</w:t>
      </w:r>
    </w:p>
    <w:p w:rsidR="00643656" w:rsidRPr="00335425" w:rsidRDefault="00643656" w:rsidP="0033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rPr>
          <w:rFonts w:asciiTheme="majorBidi" w:eastAsia="Times New Roman" w:hAnsiTheme="majorBidi" w:cstheme="majorBidi"/>
          <w:color w:val="1F1F1F"/>
          <w:sz w:val="28"/>
          <w:szCs w:val="28"/>
          <w:lang w:val="en" w:eastAsia="fr-FR"/>
        </w:rPr>
      </w:pPr>
      <w:r w:rsidRPr="00335425">
        <w:rPr>
          <w:rFonts w:asciiTheme="majorBidi" w:eastAsia="Times New Roman" w:hAnsiTheme="majorBidi" w:cstheme="majorBidi"/>
          <w:color w:val="1F1F1F"/>
          <w:sz w:val="28"/>
          <w:szCs w:val="28"/>
          <w:lang w:val="en" w:eastAsia="fr-FR"/>
        </w:rPr>
        <w:t>This study day aims to:</w:t>
      </w:r>
    </w:p>
    <w:p w:rsidR="00643656" w:rsidRPr="00335425" w:rsidRDefault="00335425" w:rsidP="00F21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Theme="majorBidi" w:eastAsia="Times New Roman" w:hAnsiTheme="majorBidi" w:cstheme="majorBidi"/>
          <w:color w:val="1F1F1F"/>
          <w:sz w:val="28"/>
          <w:szCs w:val="28"/>
          <w:lang w:val="en" w:eastAsia="fr-FR"/>
        </w:rPr>
      </w:pPr>
      <w:r>
        <w:rPr>
          <w:rFonts w:asciiTheme="majorBidi" w:eastAsia="Times New Roman" w:hAnsiTheme="majorBidi" w:cstheme="majorBidi"/>
          <w:color w:val="1F1F1F"/>
          <w:sz w:val="28"/>
          <w:szCs w:val="28"/>
          <w:lang w:val="en" w:eastAsia="fr-FR"/>
        </w:rPr>
        <w:t>-</w:t>
      </w:r>
      <w:r w:rsidR="00643656" w:rsidRPr="00335425">
        <w:rPr>
          <w:rFonts w:asciiTheme="majorBidi" w:eastAsia="Times New Roman" w:hAnsiTheme="majorBidi" w:cstheme="majorBidi"/>
          <w:color w:val="1F1F1F"/>
          <w:sz w:val="28"/>
          <w:szCs w:val="28"/>
          <w:lang w:val="en" w:eastAsia="fr-FR"/>
        </w:rPr>
        <w:t xml:space="preserve"> Highlight the state's efforts to eliminate all forms of violence against women and assess the effectiveness of the current legal framework.</w:t>
      </w:r>
    </w:p>
    <w:p w:rsidR="00643656" w:rsidRPr="00643656" w:rsidRDefault="00335425" w:rsidP="00F21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1F1F1F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color w:val="1F1F1F"/>
          <w:sz w:val="28"/>
          <w:szCs w:val="28"/>
          <w:lang w:val="en" w:eastAsia="fr-FR"/>
        </w:rPr>
        <w:t>-</w:t>
      </w:r>
      <w:r w:rsidR="00643656" w:rsidRPr="00335425">
        <w:rPr>
          <w:rFonts w:asciiTheme="majorBidi" w:eastAsia="Times New Roman" w:hAnsiTheme="majorBidi" w:cstheme="majorBidi"/>
          <w:color w:val="1F1F1F"/>
          <w:sz w:val="28"/>
          <w:szCs w:val="28"/>
          <w:lang w:val="en" w:eastAsia="fr-FR"/>
        </w:rPr>
        <w:t xml:space="preserve"> Analyze the current status of women's rights in Algeria and determine the feasibility of achieving the goals set by the United Nations for 2030.</w:t>
      </w:r>
    </w:p>
    <w:p w:rsidR="00335425" w:rsidRPr="00335425" w:rsidRDefault="00F217DA" w:rsidP="00335425">
      <w:pPr>
        <w:spacing w:before="240"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</w:pPr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The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themes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of the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study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day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:</w:t>
      </w:r>
    </w:p>
    <w:p w:rsidR="00F217DA" w:rsidRPr="00335425" w:rsidRDefault="00F217DA" w:rsidP="00335425">
      <w:pPr>
        <w:spacing w:before="240"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</w:pP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Theme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1:</w:t>
      </w:r>
    </w:p>
    <w:p w:rsidR="00F217DA" w:rsidRPr="00335425" w:rsidRDefault="00F217DA" w:rsidP="00335425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International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constitutional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foundations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gender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equality</w:t>
      </w:r>
      <w:proofErr w:type="spellEnd"/>
    </w:p>
    <w:p w:rsidR="00F217DA" w:rsidRPr="00335425" w:rsidRDefault="00F217DA" w:rsidP="00335425">
      <w:pPr>
        <w:spacing w:before="240"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</w:pPr>
      <w:proofErr w:type="spellStart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Theme</w:t>
      </w:r>
      <w:proofErr w:type="spellEnd"/>
      <w:r w:rsidRPr="00335425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2:</w:t>
      </w:r>
    </w:p>
    <w:p w:rsidR="00F217DA" w:rsidRPr="00335425" w:rsidRDefault="00F217DA" w:rsidP="008271FF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Legislative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reforms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penal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code: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between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text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and application</w:t>
      </w:r>
    </w:p>
    <w:p w:rsidR="00F217DA" w:rsidRPr="008271FF" w:rsidRDefault="00F217DA" w:rsidP="00F217DA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</w:pPr>
      <w:proofErr w:type="spellStart"/>
      <w:r w:rsidRPr="008271FF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lastRenderedPageBreak/>
        <w:t>Theme</w:t>
      </w:r>
      <w:proofErr w:type="spellEnd"/>
      <w:r w:rsidRPr="008271FF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3:</w:t>
      </w:r>
    </w:p>
    <w:p w:rsidR="00CE0E8D" w:rsidRPr="00335425" w:rsidRDefault="00F217DA" w:rsidP="0033542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Challenges and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resistance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to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legislative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application in the Algerian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context</w:t>
      </w:r>
      <w:proofErr w:type="spellEnd"/>
    </w:p>
    <w:p w:rsidR="00CE0E8D" w:rsidRPr="00335425" w:rsidRDefault="00CE0E8D" w:rsidP="00CE0E8D">
      <w:pPr>
        <w:bidi/>
        <w:spacing w:after="0"/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F217DA" w:rsidRPr="008271FF" w:rsidRDefault="00F217DA" w:rsidP="00F217DA">
      <w:pPr>
        <w:spacing w:after="0"/>
        <w:rPr>
          <w:rFonts w:asciiTheme="majorBidi" w:hAnsiTheme="majorBidi" w:cstheme="majorBidi"/>
          <w:b/>
          <w:bCs/>
          <w:color w:val="FF0000"/>
          <w:sz w:val="36"/>
          <w:szCs w:val="36"/>
          <w:lang w:bidi="ar-DZ"/>
        </w:rPr>
      </w:pPr>
      <w:r w:rsidRPr="008271FF">
        <w:rPr>
          <w:rFonts w:asciiTheme="majorBidi" w:hAnsiTheme="majorBidi" w:cstheme="majorBidi"/>
          <w:b/>
          <w:bCs/>
          <w:color w:val="FF0000"/>
          <w:sz w:val="36"/>
          <w:szCs w:val="36"/>
          <w:lang w:bidi="ar-DZ"/>
        </w:rPr>
        <w:t>Important Dates</w:t>
      </w:r>
    </w:p>
    <w:p w:rsidR="00F217DA" w:rsidRPr="00335425" w:rsidRDefault="00F217DA" w:rsidP="00F217DA">
      <w:pPr>
        <w:spacing w:after="0"/>
        <w:rPr>
          <w:rFonts w:asciiTheme="majorBidi" w:hAnsiTheme="majorBidi" w:cstheme="majorBidi"/>
          <w:sz w:val="8"/>
          <w:szCs w:val="8"/>
          <w:rtl/>
          <w:lang w:bidi="ar-DZ"/>
        </w:rPr>
      </w:pPr>
    </w:p>
    <w:p w:rsidR="00F217DA" w:rsidRPr="00335425" w:rsidRDefault="00F217DA" w:rsidP="008271FF">
      <w:pPr>
        <w:spacing w:after="0"/>
        <w:ind w:firstLine="708"/>
        <w:rPr>
          <w:rFonts w:asciiTheme="majorBidi" w:hAnsiTheme="majorBidi" w:cstheme="majorBidi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Abstracts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should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be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sent to the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following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email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address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F217DA" w:rsidRPr="00335425" w:rsidRDefault="00362DB0" w:rsidP="00F217DA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hyperlink r:id="rId9" w:history="1">
        <w:r w:rsidR="008271FF" w:rsidRPr="00B55CF1">
          <w:rPr>
            <w:rStyle w:val="Lienhypertexte"/>
            <w:rFonts w:asciiTheme="majorBidi" w:hAnsiTheme="majorBidi" w:cstheme="majorBidi"/>
            <w:sz w:val="28"/>
            <w:szCs w:val="28"/>
            <w:lang w:bidi="ar-DZ"/>
          </w:rPr>
          <w:t>bouderbala.mouni@univ-oeb.dz</w:t>
        </w:r>
      </w:hyperlink>
      <w:r w:rsidR="008271F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F217DA" w:rsidRPr="00335425" w:rsidRDefault="00F217DA" w:rsidP="00F217DA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Deadline for full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paper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submissions</w:t>
      </w:r>
      <w:proofErr w:type="spellEnd"/>
      <w:r w:rsidR="008271FF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F217DA" w:rsidRPr="008271FF" w:rsidRDefault="00F217DA" w:rsidP="00BC3C2D">
      <w:pPr>
        <w:spacing w:after="0"/>
        <w:jc w:val="center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proofErr w:type="spellStart"/>
      <w:r w:rsidRPr="008271FF">
        <w:rPr>
          <w:rFonts w:asciiTheme="majorBidi" w:hAnsiTheme="majorBidi" w:cstheme="majorBidi"/>
          <w:color w:val="FF0000"/>
          <w:sz w:val="28"/>
          <w:szCs w:val="28"/>
          <w:lang w:bidi="ar-DZ"/>
        </w:rPr>
        <w:t>December</w:t>
      </w:r>
      <w:proofErr w:type="spellEnd"/>
      <w:r w:rsidRPr="008271FF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</w:t>
      </w:r>
      <w:r w:rsidR="00BC3C2D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11</w:t>
      </w:r>
      <w:bookmarkStart w:id="0" w:name="_GoBack"/>
      <w:bookmarkEnd w:id="0"/>
      <w:r w:rsidRPr="008271FF">
        <w:rPr>
          <w:rFonts w:asciiTheme="majorBidi" w:hAnsiTheme="majorBidi" w:cstheme="majorBidi"/>
          <w:color w:val="FF0000"/>
          <w:sz w:val="28"/>
          <w:szCs w:val="28"/>
          <w:lang w:bidi="ar-DZ"/>
        </w:rPr>
        <w:t>, 2025</w:t>
      </w:r>
    </w:p>
    <w:p w:rsidR="00F217DA" w:rsidRPr="00335425" w:rsidRDefault="00F217DA" w:rsidP="00F217DA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35425">
        <w:rPr>
          <w:rFonts w:asciiTheme="majorBidi" w:hAnsiTheme="majorBidi" w:cstheme="majorBidi"/>
          <w:sz w:val="28"/>
          <w:szCs w:val="28"/>
          <w:lang w:bidi="ar-DZ"/>
        </w:rPr>
        <w:t>Study</w:t>
      </w:r>
      <w:proofErr w:type="spellEnd"/>
      <w:r w:rsidRPr="00335425">
        <w:rPr>
          <w:rFonts w:asciiTheme="majorBidi" w:hAnsiTheme="majorBidi" w:cstheme="majorBidi"/>
          <w:sz w:val="28"/>
          <w:szCs w:val="28"/>
          <w:lang w:bidi="ar-DZ"/>
        </w:rPr>
        <w:t xml:space="preserve"> Day Dates</w:t>
      </w:r>
      <w:r w:rsidR="008271FF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F217DA" w:rsidRPr="008271FF" w:rsidRDefault="00F217DA" w:rsidP="00BC3C2D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  <w:proofErr w:type="spellStart"/>
      <w:r w:rsidRPr="008271FF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>December</w:t>
      </w:r>
      <w:proofErr w:type="spellEnd"/>
      <w:r w:rsidRPr="008271FF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 xml:space="preserve"> </w:t>
      </w:r>
      <w:r w:rsidR="00BC3C2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15</w:t>
      </w:r>
      <w:r w:rsidRPr="008271FF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>, 2025</w:t>
      </w:r>
    </w:p>
    <w:p w:rsidR="008271FF" w:rsidRDefault="00F217DA" w:rsidP="008271FF">
      <w:pPr>
        <w:spacing w:after="0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>Location:</w:t>
      </w:r>
    </w:p>
    <w:p w:rsidR="00F217DA" w:rsidRPr="00335425" w:rsidRDefault="00F217DA" w:rsidP="008271FF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  <w:r w:rsidRPr="00335425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>Discussion Room</w:t>
      </w:r>
    </w:p>
    <w:p w:rsidR="00CE0E8D" w:rsidRDefault="00CE0E8D" w:rsidP="00CE0E8D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E8640B" w:rsidRPr="008271FF" w:rsidRDefault="008271FF" w:rsidP="008271FF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04621052" wp14:editId="4118D92E">
            <wp:extent cx="2786764" cy="183611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83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40B" w:rsidRPr="008271FF" w:rsidSect="00B76C69">
      <w:pgSz w:w="16838" w:h="11906" w:orient="landscape"/>
      <w:pgMar w:top="1134" w:right="1134" w:bottom="1418" w:left="1134" w:header="709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num="3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B0" w:rsidRDefault="00362DB0" w:rsidP="008019A4">
      <w:pPr>
        <w:spacing w:after="0" w:line="240" w:lineRule="auto"/>
      </w:pPr>
      <w:r>
        <w:separator/>
      </w:r>
    </w:p>
  </w:endnote>
  <w:endnote w:type="continuationSeparator" w:id="0">
    <w:p w:rsidR="00362DB0" w:rsidRDefault="00362DB0" w:rsidP="0080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B0" w:rsidRDefault="00362DB0" w:rsidP="008019A4">
      <w:pPr>
        <w:spacing w:after="0" w:line="240" w:lineRule="auto"/>
      </w:pPr>
      <w:r>
        <w:separator/>
      </w:r>
    </w:p>
  </w:footnote>
  <w:footnote w:type="continuationSeparator" w:id="0">
    <w:p w:rsidR="00362DB0" w:rsidRDefault="00362DB0" w:rsidP="00801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8F9"/>
    <w:multiLevelType w:val="hybridMultilevel"/>
    <w:tmpl w:val="11D805CE"/>
    <w:lvl w:ilvl="0" w:tplc="A1A82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41B3"/>
    <w:multiLevelType w:val="multilevel"/>
    <w:tmpl w:val="634E311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4723DDD"/>
    <w:multiLevelType w:val="hybridMultilevel"/>
    <w:tmpl w:val="275418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17DCB"/>
    <w:multiLevelType w:val="hybridMultilevel"/>
    <w:tmpl w:val="22962360"/>
    <w:lvl w:ilvl="0" w:tplc="DA00EA6E"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5C1A21BC"/>
    <w:multiLevelType w:val="multilevel"/>
    <w:tmpl w:val="D57A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C4E03"/>
    <w:multiLevelType w:val="hybridMultilevel"/>
    <w:tmpl w:val="320C72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06B86"/>
    <w:multiLevelType w:val="hybridMultilevel"/>
    <w:tmpl w:val="CEFE99F4"/>
    <w:lvl w:ilvl="0" w:tplc="DC2C31C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0419B"/>
    <w:multiLevelType w:val="multilevel"/>
    <w:tmpl w:val="252A0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FCE4D0D"/>
    <w:multiLevelType w:val="hybridMultilevel"/>
    <w:tmpl w:val="5FC447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276"/>
    <w:rsid w:val="00006759"/>
    <w:rsid w:val="000069C1"/>
    <w:rsid w:val="000176A3"/>
    <w:rsid w:val="000221EF"/>
    <w:rsid w:val="00056C02"/>
    <w:rsid w:val="00075E7E"/>
    <w:rsid w:val="00080777"/>
    <w:rsid w:val="00082F00"/>
    <w:rsid w:val="0008420D"/>
    <w:rsid w:val="000848D1"/>
    <w:rsid w:val="00091341"/>
    <w:rsid w:val="00095C98"/>
    <w:rsid w:val="000A023F"/>
    <w:rsid w:val="000A0748"/>
    <w:rsid w:val="000A0E21"/>
    <w:rsid w:val="000B48EE"/>
    <w:rsid w:val="000E3530"/>
    <w:rsid w:val="000E5972"/>
    <w:rsid w:val="000F4080"/>
    <w:rsid w:val="000F7A25"/>
    <w:rsid w:val="001045B0"/>
    <w:rsid w:val="00110A7E"/>
    <w:rsid w:val="00111687"/>
    <w:rsid w:val="00116FAF"/>
    <w:rsid w:val="00126BC8"/>
    <w:rsid w:val="0014112C"/>
    <w:rsid w:val="0014593A"/>
    <w:rsid w:val="00145FCC"/>
    <w:rsid w:val="0018277C"/>
    <w:rsid w:val="00193F51"/>
    <w:rsid w:val="001A12F5"/>
    <w:rsid w:val="001A7098"/>
    <w:rsid w:val="001B28AC"/>
    <w:rsid w:val="001B66A9"/>
    <w:rsid w:val="001D5209"/>
    <w:rsid w:val="001D70AB"/>
    <w:rsid w:val="001E145B"/>
    <w:rsid w:val="001E3D52"/>
    <w:rsid w:val="001F00EE"/>
    <w:rsid w:val="001F71A1"/>
    <w:rsid w:val="002079B7"/>
    <w:rsid w:val="00214B44"/>
    <w:rsid w:val="002170C4"/>
    <w:rsid w:val="00232357"/>
    <w:rsid w:val="00235800"/>
    <w:rsid w:val="0023668B"/>
    <w:rsid w:val="00237617"/>
    <w:rsid w:val="00242481"/>
    <w:rsid w:val="00252219"/>
    <w:rsid w:val="002C2B96"/>
    <w:rsid w:val="002D1AED"/>
    <w:rsid w:val="002E043A"/>
    <w:rsid w:val="002E0529"/>
    <w:rsid w:val="002E1D88"/>
    <w:rsid w:val="002F4499"/>
    <w:rsid w:val="002F5B90"/>
    <w:rsid w:val="003018DB"/>
    <w:rsid w:val="003342E5"/>
    <w:rsid w:val="00335425"/>
    <w:rsid w:val="003354FC"/>
    <w:rsid w:val="00336DFD"/>
    <w:rsid w:val="00340887"/>
    <w:rsid w:val="003542A3"/>
    <w:rsid w:val="00362DB0"/>
    <w:rsid w:val="0037045E"/>
    <w:rsid w:val="00371813"/>
    <w:rsid w:val="00372DCB"/>
    <w:rsid w:val="0039647C"/>
    <w:rsid w:val="003C57DA"/>
    <w:rsid w:val="003E5FF1"/>
    <w:rsid w:val="003E7B4A"/>
    <w:rsid w:val="003F1C68"/>
    <w:rsid w:val="003F3928"/>
    <w:rsid w:val="003F4015"/>
    <w:rsid w:val="00435310"/>
    <w:rsid w:val="004363D3"/>
    <w:rsid w:val="00446559"/>
    <w:rsid w:val="004532D6"/>
    <w:rsid w:val="00453A6F"/>
    <w:rsid w:val="0046162E"/>
    <w:rsid w:val="0046414C"/>
    <w:rsid w:val="00465773"/>
    <w:rsid w:val="0047086C"/>
    <w:rsid w:val="00487253"/>
    <w:rsid w:val="00491767"/>
    <w:rsid w:val="004B46B4"/>
    <w:rsid w:val="004B7734"/>
    <w:rsid w:val="004C267D"/>
    <w:rsid w:val="004E1C0D"/>
    <w:rsid w:val="004E3644"/>
    <w:rsid w:val="00504ABE"/>
    <w:rsid w:val="00542E4F"/>
    <w:rsid w:val="005445D2"/>
    <w:rsid w:val="005536FE"/>
    <w:rsid w:val="00557041"/>
    <w:rsid w:val="00557484"/>
    <w:rsid w:val="00593D1A"/>
    <w:rsid w:val="00594F39"/>
    <w:rsid w:val="005A1DCD"/>
    <w:rsid w:val="005A4B43"/>
    <w:rsid w:val="005B04B7"/>
    <w:rsid w:val="005C26BF"/>
    <w:rsid w:val="005E0CFE"/>
    <w:rsid w:val="005E43FF"/>
    <w:rsid w:val="005E6ADF"/>
    <w:rsid w:val="005F587F"/>
    <w:rsid w:val="005F67D6"/>
    <w:rsid w:val="005F7AE9"/>
    <w:rsid w:val="00613648"/>
    <w:rsid w:val="00637592"/>
    <w:rsid w:val="00641258"/>
    <w:rsid w:val="00643656"/>
    <w:rsid w:val="006559D9"/>
    <w:rsid w:val="00683636"/>
    <w:rsid w:val="006A3B1C"/>
    <w:rsid w:val="006B3806"/>
    <w:rsid w:val="006B3AA3"/>
    <w:rsid w:val="006C23F2"/>
    <w:rsid w:val="006C6B5F"/>
    <w:rsid w:val="006C7E76"/>
    <w:rsid w:val="006E615E"/>
    <w:rsid w:val="006E7E90"/>
    <w:rsid w:val="006F41A1"/>
    <w:rsid w:val="00703201"/>
    <w:rsid w:val="00706319"/>
    <w:rsid w:val="007072D4"/>
    <w:rsid w:val="00712C26"/>
    <w:rsid w:val="00714BFE"/>
    <w:rsid w:val="00723072"/>
    <w:rsid w:val="007410F6"/>
    <w:rsid w:val="007511C6"/>
    <w:rsid w:val="00772F94"/>
    <w:rsid w:val="007A6DB0"/>
    <w:rsid w:val="007B734A"/>
    <w:rsid w:val="007C6C8A"/>
    <w:rsid w:val="007C702D"/>
    <w:rsid w:val="007C7177"/>
    <w:rsid w:val="007F0645"/>
    <w:rsid w:val="007F0A1A"/>
    <w:rsid w:val="007F44AF"/>
    <w:rsid w:val="008019A4"/>
    <w:rsid w:val="0081228D"/>
    <w:rsid w:val="008271FF"/>
    <w:rsid w:val="00830DF0"/>
    <w:rsid w:val="00835E64"/>
    <w:rsid w:val="00861C3E"/>
    <w:rsid w:val="00871A46"/>
    <w:rsid w:val="008735A3"/>
    <w:rsid w:val="008814C9"/>
    <w:rsid w:val="00884A22"/>
    <w:rsid w:val="00895556"/>
    <w:rsid w:val="008B740F"/>
    <w:rsid w:val="008B7849"/>
    <w:rsid w:val="008C2C42"/>
    <w:rsid w:val="008C36C0"/>
    <w:rsid w:val="008D62C5"/>
    <w:rsid w:val="008F07C5"/>
    <w:rsid w:val="008F3AD1"/>
    <w:rsid w:val="008F5CB4"/>
    <w:rsid w:val="00905EE2"/>
    <w:rsid w:val="009113B0"/>
    <w:rsid w:val="00924844"/>
    <w:rsid w:val="00931537"/>
    <w:rsid w:val="0093467C"/>
    <w:rsid w:val="009606CC"/>
    <w:rsid w:val="00964032"/>
    <w:rsid w:val="009712A3"/>
    <w:rsid w:val="00973F55"/>
    <w:rsid w:val="00975B1C"/>
    <w:rsid w:val="00977C78"/>
    <w:rsid w:val="00986355"/>
    <w:rsid w:val="009A1778"/>
    <w:rsid w:val="009A58EA"/>
    <w:rsid w:val="009E1E76"/>
    <w:rsid w:val="009F4B59"/>
    <w:rsid w:val="00A1464C"/>
    <w:rsid w:val="00A20B1B"/>
    <w:rsid w:val="00A41BCE"/>
    <w:rsid w:val="00A522B6"/>
    <w:rsid w:val="00A66031"/>
    <w:rsid w:val="00AA16E7"/>
    <w:rsid w:val="00AA5750"/>
    <w:rsid w:val="00AA74E5"/>
    <w:rsid w:val="00AC3683"/>
    <w:rsid w:val="00AC4297"/>
    <w:rsid w:val="00AC4ECC"/>
    <w:rsid w:val="00AC63D1"/>
    <w:rsid w:val="00AD740B"/>
    <w:rsid w:val="00AE5018"/>
    <w:rsid w:val="00B03F06"/>
    <w:rsid w:val="00B11AA3"/>
    <w:rsid w:val="00B202AF"/>
    <w:rsid w:val="00B33AB1"/>
    <w:rsid w:val="00B3420F"/>
    <w:rsid w:val="00B36E3C"/>
    <w:rsid w:val="00B372A1"/>
    <w:rsid w:val="00B439E9"/>
    <w:rsid w:val="00B44239"/>
    <w:rsid w:val="00B7186F"/>
    <w:rsid w:val="00B748C8"/>
    <w:rsid w:val="00B76C69"/>
    <w:rsid w:val="00B962EF"/>
    <w:rsid w:val="00BA544F"/>
    <w:rsid w:val="00BC0D79"/>
    <w:rsid w:val="00BC1A12"/>
    <w:rsid w:val="00BC3C2D"/>
    <w:rsid w:val="00BE7554"/>
    <w:rsid w:val="00BF1148"/>
    <w:rsid w:val="00BF3CB3"/>
    <w:rsid w:val="00C01D48"/>
    <w:rsid w:val="00C03642"/>
    <w:rsid w:val="00C057E4"/>
    <w:rsid w:val="00C07352"/>
    <w:rsid w:val="00C10276"/>
    <w:rsid w:val="00C16714"/>
    <w:rsid w:val="00C328BA"/>
    <w:rsid w:val="00C3576E"/>
    <w:rsid w:val="00C42059"/>
    <w:rsid w:val="00C60B72"/>
    <w:rsid w:val="00C655D8"/>
    <w:rsid w:val="00C7004B"/>
    <w:rsid w:val="00C866CB"/>
    <w:rsid w:val="00C874C8"/>
    <w:rsid w:val="00C9724E"/>
    <w:rsid w:val="00CA3FE1"/>
    <w:rsid w:val="00CB4A77"/>
    <w:rsid w:val="00CC2CEF"/>
    <w:rsid w:val="00CE0E8D"/>
    <w:rsid w:val="00CF0AAF"/>
    <w:rsid w:val="00D2216F"/>
    <w:rsid w:val="00D34CF9"/>
    <w:rsid w:val="00D478FC"/>
    <w:rsid w:val="00D51DB6"/>
    <w:rsid w:val="00D576A4"/>
    <w:rsid w:val="00D62978"/>
    <w:rsid w:val="00D74FB4"/>
    <w:rsid w:val="00D80A27"/>
    <w:rsid w:val="00D85734"/>
    <w:rsid w:val="00DA430A"/>
    <w:rsid w:val="00DC1287"/>
    <w:rsid w:val="00DC2727"/>
    <w:rsid w:val="00DE704F"/>
    <w:rsid w:val="00E02D9D"/>
    <w:rsid w:val="00E22EB1"/>
    <w:rsid w:val="00E45E91"/>
    <w:rsid w:val="00E74B67"/>
    <w:rsid w:val="00E8055C"/>
    <w:rsid w:val="00E85A62"/>
    <w:rsid w:val="00E8640B"/>
    <w:rsid w:val="00E90DA9"/>
    <w:rsid w:val="00EB6490"/>
    <w:rsid w:val="00EC62DC"/>
    <w:rsid w:val="00EE07C6"/>
    <w:rsid w:val="00EF0B74"/>
    <w:rsid w:val="00F217DA"/>
    <w:rsid w:val="00F247A3"/>
    <w:rsid w:val="00F410DF"/>
    <w:rsid w:val="00F42752"/>
    <w:rsid w:val="00F44A4E"/>
    <w:rsid w:val="00F57A3D"/>
    <w:rsid w:val="00F62923"/>
    <w:rsid w:val="00F679F5"/>
    <w:rsid w:val="00F874C5"/>
    <w:rsid w:val="00F9228E"/>
    <w:rsid w:val="00FA63E9"/>
    <w:rsid w:val="00FB007A"/>
    <w:rsid w:val="00FB0D91"/>
    <w:rsid w:val="00FB2CA3"/>
    <w:rsid w:val="00FC549E"/>
    <w:rsid w:val="00FF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49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414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D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8363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357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57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57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7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76E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9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9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19A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9B7"/>
  </w:style>
  <w:style w:type="paragraph" w:styleId="Pieddepage">
    <w:name w:val="footer"/>
    <w:basedOn w:val="Normal"/>
    <w:link w:val="PieddepageCar"/>
    <w:uiPriority w:val="99"/>
    <w:unhideWhenUsed/>
    <w:rsid w:val="00207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9B7"/>
  </w:style>
  <w:style w:type="paragraph" w:styleId="Sansinterligne">
    <w:name w:val="No Spacing"/>
    <w:uiPriority w:val="1"/>
    <w:qFormat/>
    <w:rsid w:val="002F44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8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8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ouderbala.mouni@univ-oeb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18273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 NAZA</dc:creator>
  <cp:lastModifiedBy>User</cp:lastModifiedBy>
  <cp:revision>176</cp:revision>
  <cp:lastPrinted>2025-12-09T08:06:00Z</cp:lastPrinted>
  <dcterms:created xsi:type="dcterms:W3CDTF">2017-03-07T11:41:00Z</dcterms:created>
  <dcterms:modified xsi:type="dcterms:W3CDTF">2025-12-11T11:42:00Z</dcterms:modified>
</cp:coreProperties>
</file>