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54E" w:rsidRPr="002A33A7" w:rsidRDefault="0028354E" w:rsidP="000F73F4">
      <w:pPr>
        <w:bidi/>
        <w:jc w:val="center"/>
        <w:rPr>
          <w:rFonts w:ascii="Simplified Arabic" w:hAnsi="Simplified Arabic" w:cs="Simplified Arabic"/>
          <w:sz w:val="28"/>
          <w:szCs w:val="28"/>
          <w:u w:val="single"/>
          <w:rtl/>
          <w:lang w:bidi="ar-DZ"/>
        </w:rPr>
      </w:pPr>
      <w:r w:rsidRPr="002A33A7">
        <w:rPr>
          <w:rFonts w:ascii="Simplified Arabic" w:hAnsi="Simplified Arabic" w:cs="Simplified Arabic"/>
          <w:sz w:val="28"/>
          <w:szCs w:val="28"/>
          <w:u w:val="single"/>
          <w:rtl/>
          <w:lang w:bidi="ar-DZ"/>
        </w:rPr>
        <w:t xml:space="preserve">الإجابة النموذجية لمادة </w:t>
      </w:r>
      <w:r w:rsidR="000F73F4">
        <w:rPr>
          <w:rFonts w:ascii="Simplified Arabic" w:hAnsi="Simplified Arabic" w:cs="Simplified Arabic" w:hint="cs"/>
          <w:sz w:val="28"/>
          <w:szCs w:val="28"/>
          <w:u w:val="single"/>
          <w:rtl/>
          <w:lang w:bidi="ar-DZ"/>
        </w:rPr>
        <w:t>ا</w:t>
      </w:r>
      <w:r w:rsidR="000F73F4" w:rsidRPr="000F73F4">
        <w:rPr>
          <w:rFonts w:ascii="Simplified Arabic" w:hAnsi="Simplified Arabic" w:cs="Simplified Arabic" w:hint="cs"/>
          <w:sz w:val="28"/>
          <w:szCs w:val="28"/>
          <w:u w:val="single"/>
          <w:rtl/>
          <w:lang w:bidi="ar-DZ"/>
        </w:rPr>
        <w:t>لإجراءات</w:t>
      </w:r>
      <w:r w:rsidR="000F73F4" w:rsidRPr="000F73F4">
        <w:rPr>
          <w:rFonts w:ascii="Simplified Arabic" w:hAnsi="Simplified Arabic" w:cs="Simplified Arabic"/>
          <w:sz w:val="28"/>
          <w:szCs w:val="28"/>
          <w:u w:val="single"/>
          <w:rtl/>
          <w:lang w:bidi="ar-DZ"/>
        </w:rPr>
        <w:t xml:space="preserve"> </w:t>
      </w:r>
      <w:r w:rsidR="000F73F4" w:rsidRPr="000F73F4">
        <w:rPr>
          <w:rFonts w:ascii="Simplified Arabic" w:hAnsi="Simplified Arabic" w:cs="Simplified Arabic" w:hint="cs"/>
          <w:sz w:val="28"/>
          <w:szCs w:val="28"/>
          <w:u w:val="single"/>
          <w:rtl/>
          <w:lang w:bidi="ar-DZ"/>
        </w:rPr>
        <w:t>القضائية</w:t>
      </w:r>
    </w:p>
    <w:p w:rsidR="000F73F4" w:rsidRDefault="00B77312" w:rsidP="003A61B7">
      <w:pPr>
        <w:bidi/>
        <w:rPr>
          <w:rFonts w:ascii="Simplified Arabic" w:hAnsi="Simplified Arabic" w:cs="Simplified Arabic" w:hint="cs"/>
          <w:b/>
          <w:bCs/>
          <w:sz w:val="28"/>
          <w:szCs w:val="28"/>
          <w:rtl/>
          <w:lang w:bidi="ar-DZ"/>
        </w:rPr>
      </w:pPr>
      <w:r w:rsidRPr="002A33A7">
        <w:rPr>
          <w:rFonts w:ascii="Simplified Arabic" w:hAnsi="Simplified Arabic" w:cs="Simplified Arabic"/>
          <w:b/>
          <w:bCs/>
          <w:sz w:val="28"/>
          <w:szCs w:val="28"/>
          <w:u w:val="single"/>
          <w:rtl/>
          <w:lang w:bidi="ar-DZ"/>
        </w:rPr>
        <w:t>الإج</w:t>
      </w:r>
      <w:r>
        <w:rPr>
          <w:rFonts w:ascii="Simplified Arabic" w:hAnsi="Simplified Arabic" w:cs="Simplified Arabic" w:hint="cs"/>
          <w:b/>
          <w:bCs/>
          <w:sz w:val="28"/>
          <w:szCs w:val="28"/>
          <w:u w:val="single"/>
          <w:rtl/>
          <w:lang w:bidi="ar-DZ"/>
        </w:rPr>
        <w:t>ـ</w:t>
      </w:r>
      <w:r w:rsidRPr="002A33A7">
        <w:rPr>
          <w:rFonts w:ascii="Simplified Arabic" w:hAnsi="Simplified Arabic" w:cs="Simplified Arabic"/>
          <w:b/>
          <w:bCs/>
          <w:sz w:val="28"/>
          <w:szCs w:val="28"/>
          <w:u w:val="single"/>
          <w:rtl/>
          <w:lang w:bidi="ar-DZ"/>
        </w:rPr>
        <w:t xml:space="preserve">ابة </w:t>
      </w:r>
      <w:proofErr w:type="gramStart"/>
      <w:r w:rsidRPr="002A33A7">
        <w:rPr>
          <w:rFonts w:ascii="Simplified Arabic" w:hAnsi="Simplified Arabic" w:cs="Simplified Arabic"/>
          <w:b/>
          <w:bCs/>
          <w:sz w:val="28"/>
          <w:szCs w:val="28"/>
          <w:u w:val="single"/>
          <w:rtl/>
          <w:lang w:bidi="ar-DZ"/>
        </w:rPr>
        <w:t>ال</w:t>
      </w:r>
      <w:r>
        <w:rPr>
          <w:rFonts w:ascii="Simplified Arabic" w:hAnsi="Simplified Arabic" w:cs="Simplified Arabic" w:hint="cs"/>
          <w:b/>
          <w:bCs/>
          <w:sz w:val="28"/>
          <w:szCs w:val="28"/>
          <w:u w:val="single"/>
          <w:rtl/>
          <w:lang w:bidi="ar-DZ"/>
        </w:rPr>
        <w:t>أولى</w:t>
      </w:r>
      <w:r w:rsidRPr="002A33A7">
        <w:rPr>
          <w:rFonts w:ascii="Simplified Arabic" w:hAnsi="Simplified Arabic" w:cs="Simplified Arabic"/>
          <w:b/>
          <w:bCs/>
          <w:sz w:val="28"/>
          <w:szCs w:val="28"/>
          <w:u w:val="single"/>
          <w:rtl/>
          <w:lang w:bidi="ar-DZ"/>
        </w:rPr>
        <w:t xml:space="preserve"> </w:t>
      </w:r>
      <w:r w:rsidRPr="002A33A7">
        <w:rPr>
          <w:rFonts w:ascii="Simplified Arabic" w:hAnsi="Simplified Arabic" w:cs="Simplified Arabic"/>
          <w:b/>
          <w:bCs/>
          <w:sz w:val="28"/>
          <w:szCs w:val="28"/>
          <w:rtl/>
          <w:lang w:bidi="ar-DZ"/>
        </w:rPr>
        <w:t>:</w:t>
      </w:r>
      <w:proofErr w:type="gramEnd"/>
      <w:r w:rsidRPr="002A33A7">
        <w:rPr>
          <w:rFonts w:ascii="Simplified Arabic" w:hAnsi="Simplified Arabic" w:cs="Simplified Arabic"/>
          <w:b/>
          <w:bCs/>
          <w:sz w:val="28"/>
          <w:szCs w:val="28"/>
          <w:rtl/>
          <w:lang w:bidi="ar-DZ"/>
        </w:rPr>
        <w:t xml:space="preserve"> </w:t>
      </w:r>
      <w:r w:rsidR="000F73F4">
        <w:rPr>
          <w:rFonts w:ascii="Simplified Arabic" w:hAnsi="Simplified Arabic" w:cs="Simplified Arabic" w:hint="cs"/>
          <w:b/>
          <w:bCs/>
          <w:sz w:val="28"/>
          <w:szCs w:val="28"/>
          <w:rtl/>
          <w:lang w:bidi="ar-DZ"/>
        </w:rPr>
        <w:t>ترتكز الإجابة على بيان العناصر التالية:</w:t>
      </w:r>
    </w:p>
    <w:p w:rsidR="000F73F4" w:rsidRDefault="000F73F4" w:rsidP="002C5E0C">
      <w:pPr>
        <w:bidi/>
        <w:spacing w:line="240" w:lineRule="auto"/>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تعد المنظمة المهنية شخص معنوي خاص. وبالتالي فمعظم منازعاتها يحكمه القانون الخاص. كما هو الحال بالنسبة لمنظمة المحامين- المحاسبين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 الخبراء العقاريين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 </w:t>
      </w:r>
      <w:proofErr w:type="gramStart"/>
      <w:r>
        <w:rPr>
          <w:rFonts w:ascii="Traditional Arabic" w:hAnsi="Traditional Arabic" w:cs="Traditional Arabic" w:hint="cs"/>
          <w:sz w:val="32"/>
          <w:szCs w:val="32"/>
          <w:rtl/>
          <w:lang w:bidi="ar-DZ"/>
        </w:rPr>
        <w:t>الأطباء .</w:t>
      </w:r>
      <w:proofErr w:type="gramEnd"/>
      <w:r>
        <w:rPr>
          <w:rFonts w:ascii="Traditional Arabic" w:hAnsi="Traditional Arabic" w:cs="Traditional Arabic" w:hint="cs"/>
          <w:sz w:val="32"/>
          <w:szCs w:val="32"/>
          <w:rtl/>
          <w:lang w:bidi="ar-DZ"/>
        </w:rPr>
        <w:t>...</w:t>
      </w:r>
    </w:p>
    <w:p w:rsidR="002C5E0C" w:rsidRDefault="000F73F4" w:rsidP="002C5E0C">
      <w:pPr>
        <w:bidi/>
        <w:spacing w:line="240" w:lineRule="auto"/>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وبالنظر للاعتراف بكونها وجدت بغرض النفع العام. </w:t>
      </w:r>
      <w:proofErr w:type="gramStart"/>
      <w:r>
        <w:rPr>
          <w:rFonts w:ascii="Traditional Arabic" w:hAnsi="Traditional Arabic" w:cs="Traditional Arabic" w:hint="cs"/>
          <w:sz w:val="32"/>
          <w:szCs w:val="32"/>
          <w:rtl/>
          <w:lang w:bidi="ar-DZ"/>
        </w:rPr>
        <w:t>فقد</w:t>
      </w:r>
      <w:proofErr w:type="gramEnd"/>
      <w:r>
        <w:rPr>
          <w:rFonts w:ascii="Traditional Arabic" w:hAnsi="Traditional Arabic" w:cs="Traditional Arabic" w:hint="cs"/>
          <w:sz w:val="32"/>
          <w:szCs w:val="32"/>
          <w:rtl/>
          <w:lang w:bidi="ar-DZ"/>
        </w:rPr>
        <w:t xml:space="preserve"> تدخل القانون من أجل ضبط </w:t>
      </w:r>
      <w:r w:rsidR="0056237A">
        <w:rPr>
          <w:rFonts w:ascii="Traditional Arabic" w:hAnsi="Traditional Arabic" w:cs="Traditional Arabic" w:hint="cs"/>
          <w:sz w:val="32"/>
          <w:szCs w:val="32"/>
          <w:rtl/>
          <w:lang w:bidi="ar-DZ"/>
        </w:rPr>
        <w:t xml:space="preserve">وتنظيم </w:t>
      </w:r>
      <w:r>
        <w:rPr>
          <w:rFonts w:ascii="Traditional Arabic" w:hAnsi="Traditional Arabic" w:cs="Traditional Arabic" w:hint="cs"/>
          <w:sz w:val="32"/>
          <w:szCs w:val="32"/>
          <w:rtl/>
          <w:lang w:bidi="ar-DZ"/>
        </w:rPr>
        <w:t>المهنة ولم يترك الجوانب الاتفاقية إلا في مجالات ضيقة.</w:t>
      </w:r>
      <w:r w:rsidR="0056237A">
        <w:rPr>
          <w:rFonts w:ascii="Traditional Arabic" w:hAnsi="Traditional Arabic" w:cs="Traditional Arabic" w:hint="cs"/>
          <w:sz w:val="32"/>
          <w:szCs w:val="32"/>
          <w:rtl/>
          <w:lang w:bidi="ar-DZ"/>
        </w:rPr>
        <w:t xml:space="preserve"> وما يلاحظ في هذا السياق هو التداخل بين القانون الخاص </w:t>
      </w:r>
      <w:proofErr w:type="gramStart"/>
      <w:r w:rsidR="0056237A">
        <w:rPr>
          <w:rFonts w:ascii="Traditional Arabic" w:hAnsi="Traditional Arabic" w:cs="Traditional Arabic" w:hint="cs"/>
          <w:sz w:val="32"/>
          <w:szCs w:val="32"/>
          <w:rtl/>
          <w:lang w:bidi="ar-DZ"/>
        </w:rPr>
        <w:t>والقانون</w:t>
      </w:r>
      <w:proofErr w:type="gramEnd"/>
      <w:r w:rsidR="0056237A">
        <w:rPr>
          <w:rFonts w:ascii="Traditional Arabic" w:hAnsi="Traditional Arabic" w:cs="Traditional Arabic" w:hint="cs"/>
          <w:sz w:val="32"/>
          <w:szCs w:val="32"/>
          <w:rtl/>
          <w:lang w:bidi="ar-DZ"/>
        </w:rPr>
        <w:t xml:space="preserve"> العام</w:t>
      </w:r>
    </w:p>
    <w:p w:rsidR="000F73F4" w:rsidRDefault="002C5E0C" w:rsidP="002C5E0C">
      <w:pPr>
        <w:bidi/>
        <w:spacing w:line="240" w:lineRule="auto"/>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ولأجل ذلك فهي تتمتع ببعض امتيازات السلطة العامة، وبالتالي تخضع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 في هذا المجال لأحكام القانون الإداري وتؤول منازعاتها لاختصاص القاضي الإداري.</w:t>
      </w:r>
    </w:p>
    <w:p w:rsidR="002C5E0C" w:rsidRDefault="002C5E0C" w:rsidP="002C5E0C">
      <w:pPr>
        <w:bidi/>
        <w:spacing w:line="240" w:lineRule="auto"/>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وغني عن البيان أن المعيار المطبق هنا </w:t>
      </w:r>
      <w:proofErr w:type="gramStart"/>
      <w:r>
        <w:rPr>
          <w:rFonts w:ascii="Traditional Arabic" w:hAnsi="Traditional Arabic" w:cs="Traditional Arabic" w:hint="cs"/>
          <w:sz w:val="32"/>
          <w:szCs w:val="32"/>
          <w:rtl/>
          <w:lang w:bidi="ar-DZ"/>
        </w:rPr>
        <w:t>هو</w:t>
      </w:r>
      <w:proofErr w:type="gramEnd"/>
      <w:r>
        <w:rPr>
          <w:rFonts w:ascii="Traditional Arabic" w:hAnsi="Traditional Arabic" w:cs="Traditional Arabic" w:hint="cs"/>
          <w:sz w:val="32"/>
          <w:szCs w:val="32"/>
          <w:rtl/>
          <w:lang w:bidi="ar-DZ"/>
        </w:rPr>
        <w:t xml:space="preserve"> المعيار المادي المرتكز على الوسائل والغاية.</w:t>
      </w:r>
    </w:p>
    <w:p w:rsidR="002C5E0C" w:rsidRDefault="002C5E0C" w:rsidP="005174BE">
      <w:pPr>
        <w:bidi/>
        <w:spacing w:line="240" w:lineRule="auto"/>
        <w:rPr>
          <w:rFonts w:ascii="Traditional Arabic" w:hAnsi="Traditional Arabic" w:cs="Traditional Arabic" w:hint="cs"/>
          <w:sz w:val="32"/>
          <w:szCs w:val="32"/>
          <w:rtl/>
          <w:lang w:bidi="ar-DZ"/>
        </w:rPr>
      </w:pPr>
      <w:proofErr w:type="gramStart"/>
      <w:r>
        <w:rPr>
          <w:rFonts w:ascii="Traditional Arabic" w:hAnsi="Traditional Arabic" w:cs="Traditional Arabic" w:hint="cs"/>
          <w:sz w:val="32"/>
          <w:szCs w:val="32"/>
          <w:rtl/>
          <w:lang w:bidi="ar-DZ"/>
        </w:rPr>
        <w:t>وعليه</w:t>
      </w:r>
      <w:proofErr w:type="gramEnd"/>
      <w:r>
        <w:rPr>
          <w:rFonts w:ascii="Traditional Arabic" w:hAnsi="Traditional Arabic" w:cs="Traditional Arabic" w:hint="cs"/>
          <w:sz w:val="32"/>
          <w:szCs w:val="32"/>
          <w:rtl/>
          <w:lang w:bidi="ar-DZ"/>
        </w:rPr>
        <w:t xml:space="preserve"> إن الصياغة التي أوردها المشرع سواء في المادة 800 أو 801 </w:t>
      </w:r>
      <w:r w:rsidR="005174BE">
        <w:rPr>
          <w:rFonts w:ascii="Traditional Arabic" w:hAnsi="Traditional Arabic" w:cs="Traditional Arabic" w:hint="cs"/>
          <w:sz w:val="32"/>
          <w:szCs w:val="32"/>
          <w:rtl/>
          <w:lang w:bidi="ar-DZ"/>
        </w:rPr>
        <w:t xml:space="preserve">الجديدتين </w:t>
      </w:r>
      <w:r>
        <w:rPr>
          <w:rFonts w:ascii="Traditional Arabic" w:hAnsi="Traditional Arabic" w:cs="Traditional Arabic" w:hint="cs"/>
          <w:sz w:val="32"/>
          <w:szCs w:val="32"/>
          <w:rtl/>
          <w:lang w:bidi="ar-DZ"/>
        </w:rPr>
        <w:t xml:space="preserve">غير موفقتين للأسباب المذكورة </w:t>
      </w:r>
      <w:r w:rsidR="005174BE">
        <w:rPr>
          <w:rFonts w:ascii="Traditional Arabic" w:hAnsi="Traditional Arabic" w:cs="Traditional Arabic" w:hint="cs"/>
          <w:sz w:val="32"/>
          <w:szCs w:val="32"/>
          <w:rtl/>
          <w:lang w:bidi="ar-DZ"/>
        </w:rPr>
        <w:t>أ</w:t>
      </w:r>
      <w:r>
        <w:rPr>
          <w:rFonts w:ascii="Traditional Arabic" w:hAnsi="Traditional Arabic" w:cs="Traditional Arabic" w:hint="cs"/>
          <w:sz w:val="32"/>
          <w:szCs w:val="32"/>
          <w:rtl/>
          <w:lang w:bidi="ar-DZ"/>
        </w:rPr>
        <w:t>علاه. وعليه يتعين إيرادها كاستثناء على المعيار العضوي.</w:t>
      </w:r>
    </w:p>
    <w:p w:rsidR="002C5E0C" w:rsidRDefault="002C5E0C" w:rsidP="002C5E0C">
      <w:pPr>
        <w:bidi/>
        <w:spacing w:line="240" w:lineRule="auto"/>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وتتوزع منازعات المنظمات المهنية بحسب ما يلي: </w:t>
      </w:r>
    </w:p>
    <w:p w:rsidR="002C5E0C" w:rsidRDefault="002C5E0C" w:rsidP="002C5E0C">
      <w:pPr>
        <w:bidi/>
        <w:spacing w:line="240" w:lineRule="auto"/>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قرارات المنظمات </w:t>
      </w:r>
      <w:proofErr w:type="spellStart"/>
      <w:r>
        <w:rPr>
          <w:rFonts w:ascii="Traditional Arabic" w:hAnsi="Traditional Arabic" w:cs="Traditional Arabic" w:hint="cs"/>
          <w:sz w:val="32"/>
          <w:szCs w:val="32"/>
          <w:rtl/>
          <w:lang w:bidi="ar-DZ"/>
        </w:rPr>
        <w:t>الجهوية</w:t>
      </w:r>
      <w:proofErr w:type="spellEnd"/>
      <w:r>
        <w:rPr>
          <w:rFonts w:ascii="Traditional Arabic" w:hAnsi="Traditional Arabic" w:cs="Traditional Arabic" w:hint="cs"/>
          <w:sz w:val="32"/>
          <w:szCs w:val="32"/>
          <w:rtl/>
          <w:lang w:bidi="ar-DZ"/>
        </w:rPr>
        <w:t xml:space="preserve"> </w:t>
      </w:r>
      <w:r w:rsidR="0056237A">
        <w:rPr>
          <w:rFonts w:ascii="Traditional Arabic" w:hAnsi="Traditional Arabic" w:cs="Traditional Arabic" w:hint="cs"/>
          <w:sz w:val="32"/>
          <w:szCs w:val="32"/>
          <w:rtl/>
          <w:lang w:bidi="ar-DZ"/>
        </w:rPr>
        <w:t xml:space="preserve">( الانتخابات ) </w:t>
      </w:r>
      <w:r>
        <w:rPr>
          <w:rFonts w:ascii="Traditional Arabic" w:hAnsi="Traditional Arabic" w:cs="Traditional Arabic" w:hint="cs"/>
          <w:sz w:val="32"/>
          <w:szCs w:val="32"/>
          <w:rtl/>
          <w:lang w:bidi="ar-DZ"/>
        </w:rPr>
        <w:t>تعود لاختصاص المحكمة الإدارية.</w:t>
      </w:r>
    </w:p>
    <w:p w:rsidR="002C5E0C" w:rsidRDefault="002C5E0C" w:rsidP="002C5E0C">
      <w:pPr>
        <w:bidi/>
        <w:spacing w:line="240" w:lineRule="auto"/>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قرارات المنظمات المهنية الوطنية تعود لاختصاص المحكمة الإدارية </w:t>
      </w:r>
      <w:proofErr w:type="spellStart"/>
      <w:r>
        <w:rPr>
          <w:rFonts w:ascii="Traditional Arabic" w:hAnsi="Traditional Arabic" w:cs="Traditional Arabic" w:hint="cs"/>
          <w:sz w:val="32"/>
          <w:szCs w:val="32"/>
          <w:rtl/>
          <w:lang w:bidi="ar-DZ"/>
        </w:rPr>
        <w:t>الاستئنافية</w:t>
      </w:r>
      <w:proofErr w:type="spellEnd"/>
      <w:r>
        <w:rPr>
          <w:rFonts w:ascii="Traditional Arabic" w:hAnsi="Traditional Arabic" w:cs="Traditional Arabic" w:hint="cs"/>
          <w:sz w:val="32"/>
          <w:szCs w:val="32"/>
          <w:rtl/>
          <w:lang w:bidi="ar-DZ"/>
        </w:rPr>
        <w:t xml:space="preserve"> للجزائر.</w:t>
      </w:r>
    </w:p>
    <w:p w:rsidR="002C5E0C" w:rsidRDefault="002C5E0C" w:rsidP="002C5E0C">
      <w:pPr>
        <w:bidi/>
        <w:spacing w:line="240" w:lineRule="auto"/>
        <w:rPr>
          <w:rFonts w:ascii="Simplified Arabic" w:hAnsi="Simplified Arabic" w:cs="Simplified Arabic" w:hint="cs"/>
          <w:b/>
          <w:bCs/>
          <w:sz w:val="28"/>
          <w:szCs w:val="28"/>
          <w:rtl/>
          <w:lang w:bidi="ar-DZ"/>
        </w:rPr>
      </w:pPr>
      <w:r>
        <w:rPr>
          <w:rFonts w:ascii="Traditional Arabic" w:hAnsi="Traditional Arabic" w:cs="Traditional Arabic" w:hint="cs"/>
          <w:sz w:val="32"/>
          <w:szCs w:val="32"/>
          <w:rtl/>
          <w:lang w:bidi="ar-DZ"/>
        </w:rPr>
        <w:t xml:space="preserve">قرارات </w:t>
      </w:r>
      <w:r w:rsidR="0056237A">
        <w:rPr>
          <w:rFonts w:ascii="Traditional Arabic" w:hAnsi="Traditional Arabic" w:cs="Traditional Arabic" w:hint="cs"/>
          <w:sz w:val="32"/>
          <w:szCs w:val="32"/>
          <w:rtl/>
          <w:lang w:bidi="ar-DZ"/>
        </w:rPr>
        <w:t xml:space="preserve">التأديب الصادرة عن المنظمات الوطنية يختص </w:t>
      </w:r>
      <w:proofErr w:type="spellStart"/>
      <w:r w:rsidR="0056237A">
        <w:rPr>
          <w:rFonts w:ascii="Traditional Arabic" w:hAnsi="Traditional Arabic" w:cs="Traditional Arabic" w:hint="cs"/>
          <w:sz w:val="32"/>
          <w:szCs w:val="32"/>
          <w:rtl/>
          <w:lang w:bidi="ar-DZ"/>
        </w:rPr>
        <w:t>بها</w:t>
      </w:r>
      <w:proofErr w:type="spellEnd"/>
      <w:r w:rsidR="0056237A">
        <w:rPr>
          <w:rFonts w:ascii="Traditional Arabic" w:hAnsi="Traditional Arabic" w:cs="Traditional Arabic" w:hint="cs"/>
          <w:sz w:val="32"/>
          <w:szCs w:val="32"/>
          <w:rtl/>
          <w:lang w:bidi="ar-DZ"/>
        </w:rPr>
        <w:t xml:space="preserve"> مجلس الدولة كجهة نقض.</w:t>
      </w:r>
    </w:p>
    <w:p w:rsidR="003A61B7" w:rsidRDefault="0028354E" w:rsidP="003A61B7">
      <w:pPr>
        <w:bidi/>
        <w:rPr>
          <w:rFonts w:ascii="Simplified Arabic" w:hAnsi="Simplified Arabic" w:cs="Simplified Arabic"/>
          <w:sz w:val="28"/>
          <w:szCs w:val="28"/>
          <w:rtl/>
          <w:lang w:bidi="ar-DZ"/>
        </w:rPr>
      </w:pPr>
      <w:r w:rsidRPr="002A33A7">
        <w:rPr>
          <w:rFonts w:ascii="Simplified Arabic" w:hAnsi="Simplified Arabic" w:cs="Simplified Arabic"/>
          <w:b/>
          <w:bCs/>
          <w:sz w:val="28"/>
          <w:szCs w:val="28"/>
          <w:u w:val="single"/>
          <w:rtl/>
          <w:lang w:bidi="ar-DZ"/>
        </w:rPr>
        <w:t xml:space="preserve">الإجابة </w:t>
      </w:r>
      <w:proofErr w:type="gramStart"/>
      <w:r w:rsidR="00B77312" w:rsidRPr="002A33A7">
        <w:rPr>
          <w:rFonts w:ascii="Simplified Arabic" w:hAnsi="Simplified Arabic" w:cs="Simplified Arabic"/>
          <w:b/>
          <w:bCs/>
          <w:sz w:val="28"/>
          <w:szCs w:val="28"/>
          <w:u w:val="single"/>
          <w:rtl/>
          <w:lang w:bidi="ar-DZ"/>
        </w:rPr>
        <w:t>الثاني</w:t>
      </w:r>
      <w:r w:rsidR="00B77312">
        <w:rPr>
          <w:rFonts w:ascii="Simplified Arabic" w:hAnsi="Simplified Arabic" w:cs="Simplified Arabic" w:hint="cs"/>
          <w:b/>
          <w:bCs/>
          <w:sz w:val="28"/>
          <w:szCs w:val="28"/>
          <w:u w:val="single"/>
          <w:rtl/>
          <w:lang w:bidi="ar-DZ"/>
        </w:rPr>
        <w:t>ـ</w:t>
      </w:r>
      <w:r w:rsidR="00B77312" w:rsidRPr="002A33A7">
        <w:rPr>
          <w:rFonts w:ascii="Simplified Arabic" w:hAnsi="Simplified Arabic" w:cs="Simplified Arabic"/>
          <w:b/>
          <w:bCs/>
          <w:sz w:val="28"/>
          <w:szCs w:val="28"/>
          <w:u w:val="single"/>
          <w:rtl/>
          <w:lang w:bidi="ar-DZ"/>
        </w:rPr>
        <w:t>ة</w:t>
      </w:r>
      <w:r w:rsidRPr="002A33A7">
        <w:rPr>
          <w:rFonts w:ascii="Simplified Arabic" w:hAnsi="Simplified Arabic" w:cs="Simplified Arabic"/>
          <w:b/>
          <w:bCs/>
          <w:sz w:val="28"/>
          <w:szCs w:val="28"/>
          <w:u w:val="single"/>
          <w:rtl/>
          <w:lang w:bidi="ar-DZ"/>
        </w:rPr>
        <w:t xml:space="preserve"> </w:t>
      </w:r>
      <w:r w:rsidRPr="002A33A7">
        <w:rPr>
          <w:rFonts w:ascii="Simplified Arabic" w:hAnsi="Simplified Arabic" w:cs="Simplified Arabic"/>
          <w:sz w:val="28"/>
          <w:szCs w:val="28"/>
          <w:rtl/>
          <w:lang w:bidi="ar-DZ"/>
        </w:rPr>
        <w:t>:</w:t>
      </w:r>
      <w:proofErr w:type="gramEnd"/>
      <w:r w:rsidRPr="002A33A7">
        <w:rPr>
          <w:rFonts w:ascii="Simplified Arabic" w:hAnsi="Simplified Arabic" w:cs="Simplified Arabic"/>
          <w:sz w:val="28"/>
          <w:szCs w:val="28"/>
          <w:rtl/>
          <w:lang w:bidi="ar-DZ"/>
        </w:rPr>
        <w:t xml:space="preserve"> </w:t>
      </w:r>
      <w:r w:rsidR="00B77312">
        <w:rPr>
          <w:rFonts w:ascii="Simplified Arabic" w:hAnsi="Simplified Arabic" w:cs="Simplified Arabic" w:hint="cs"/>
          <w:sz w:val="28"/>
          <w:szCs w:val="28"/>
          <w:rtl/>
          <w:lang w:bidi="ar-DZ"/>
        </w:rPr>
        <w:t xml:space="preserve"> </w:t>
      </w:r>
    </w:p>
    <w:p w:rsidR="0056237A" w:rsidRDefault="0056237A" w:rsidP="0056237A">
      <w:pPr>
        <w:bidi/>
        <w:ind w:firstLine="708"/>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اعتمادا على نص المادة 405 من قانون الإجراءات المدنية والإدارية تحتسب المواعيد في النظام القضائي الجزائري كاملة بمعنى أن اليوم الأول والأخير لا يحتسبان وعليه سيكون آخر أجل لانقضاء دعوى الموظف هو يوم 02/01/2025.</w:t>
      </w:r>
    </w:p>
    <w:p w:rsidR="0056237A" w:rsidRDefault="0056237A" w:rsidP="0056237A">
      <w:pPr>
        <w:bidi/>
        <w:ind w:firstLine="708"/>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وتختلف الجهة القضائية المختصة بحسب ما إذا كان الموظف مستخدم لدى الولايات أو البلديات أو المصالح غير الممركزة للدولة على مستوى الولايات فيكون الاختصاص للمحكمة الإدارية</w:t>
      </w:r>
      <w:r w:rsidR="005174BE">
        <w:rPr>
          <w:rFonts w:ascii="Traditional Arabic" w:hAnsi="Traditional Arabic" w:cs="Traditional Arabic" w:hint="cs"/>
          <w:sz w:val="32"/>
          <w:szCs w:val="32"/>
          <w:rtl/>
          <w:lang w:bidi="ar-DZ"/>
        </w:rPr>
        <w:t xml:space="preserve"> والمختصة إقليميا ( المادة 801 من ق </w:t>
      </w:r>
      <w:proofErr w:type="spellStart"/>
      <w:r w:rsidR="005174BE">
        <w:rPr>
          <w:rFonts w:ascii="Traditional Arabic" w:hAnsi="Traditional Arabic" w:cs="Traditional Arabic" w:hint="cs"/>
          <w:sz w:val="32"/>
          <w:szCs w:val="32"/>
          <w:rtl/>
          <w:lang w:bidi="ar-DZ"/>
        </w:rPr>
        <w:t>إم</w:t>
      </w:r>
      <w:proofErr w:type="spellEnd"/>
      <w:r w:rsidR="005174BE">
        <w:rPr>
          <w:rFonts w:ascii="Traditional Arabic" w:hAnsi="Traditional Arabic" w:cs="Traditional Arabic" w:hint="cs"/>
          <w:sz w:val="32"/>
          <w:szCs w:val="32"/>
          <w:rtl/>
          <w:lang w:bidi="ar-DZ"/>
        </w:rPr>
        <w:t xml:space="preserve"> إ ) .</w:t>
      </w:r>
    </w:p>
    <w:p w:rsidR="005174BE" w:rsidRPr="0056237A" w:rsidRDefault="005174BE" w:rsidP="005174BE">
      <w:pPr>
        <w:bidi/>
        <w:ind w:firstLine="708"/>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 xml:space="preserve">أما إذا كان الموظف مستخدم لدى الإدارة المركزية ( الوزارات ) أو غير الإدارة المركزية الهيئات العمومية الوطنية ) فيؤول الاختصاص للمحكمة الإدارية </w:t>
      </w:r>
      <w:proofErr w:type="spellStart"/>
      <w:r>
        <w:rPr>
          <w:rFonts w:ascii="Traditional Arabic" w:hAnsi="Traditional Arabic" w:cs="Traditional Arabic" w:hint="cs"/>
          <w:sz w:val="32"/>
          <w:szCs w:val="32"/>
          <w:rtl/>
          <w:lang w:bidi="ar-DZ"/>
        </w:rPr>
        <w:t>الاستئنافية</w:t>
      </w:r>
      <w:proofErr w:type="spellEnd"/>
      <w:r>
        <w:rPr>
          <w:rFonts w:ascii="Traditional Arabic" w:hAnsi="Traditional Arabic" w:cs="Traditional Arabic" w:hint="cs"/>
          <w:sz w:val="32"/>
          <w:szCs w:val="32"/>
          <w:rtl/>
          <w:lang w:bidi="ar-DZ"/>
        </w:rPr>
        <w:t xml:space="preserve"> للجزائر المادة 900 مكرر من ق إ م إ.</w:t>
      </w:r>
    </w:p>
    <w:p w:rsidR="005174BE" w:rsidRDefault="005174BE" w:rsidP="006247EC">
      <w:pPr>
        <w:bidi/>
        <w:ind w:firstLine="708"/>
        <w:jc w:val="both"/>
        <w:rPr>
          <w:rFonts w:ascii="Traditional Arabic" w:hAnsi="Traditional Arabic" w:cs="Traditional Arabic" w:hint="cs"/>
          <w:sz w:val="32"/>
          <w:szCs w:val="32"/>
          <w:rtl/>
          <w:lang w:bidi="ar-DZ"/>
        </w:rPr>
      </w:pPr>
      <w:proofErr w:type="gramStart"/>
      <w:r w:rsidRPr="005174BE">
        <w:rPr>
          <w:rFonts w:ascii="Traditional Arabic" w:hAnsi="Traditional Arabic" w:cs="Traditional Arabic" w:hint="cs"/>
          <w:sz w:val="32"/>
          <w:szCs w:val="32"/>
          <w:rtl/>
          <w:lang w:bidi="ar-DZ"/>
        </w:rPr>
        <w:t>ومن</w:t>
      </w:r>
      <w:proofErr w:type="gramEnd"/>
      <w:r w:rsidRPr="005174BE">
        <w:rPr>
          <w:rFonts w:ascii="Traditional Arabic" w:hAnsi="Traditional Arabic" w:cs="Traditional Arabic" w:hint="cs"/>
          <w:sz w:val="32"/>
          <w:szCs w:val="32"/>
          <w:rtl/>
          <w:lang w:bidi="ar-DZ"/>
        </w:rPr>
        <w:t xml:space="preserve"> حق الموظف اللجوء إلى التظلم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 وهو جوازي - </w:t>
      </w:r>
      <w:r w:rsidRPr="005174BE">
        <w:rPr>
          <w:rFonts w:ascii="Traditional Arabic" w:hAnsi="Traditional Arabic" w:cs="Traditional Arabic" w:hint="cs"/>
          <w:sz w:val="32"/>
          <w:szCs w:val="32"/>
          <w:rtl/>
          <w:lang w:bidi="ar-DZ"/>
        </w:rPr>
        <w:t>من أجل محاولة تسوية النزاع وديا وأن تتفادى الإدارة العامة وضع المدعى عليه</w:t>
      </w:r>
      <w:r>
        <w:rPr>
          <w:rFonts w:ascii="Traditional Arabic" w:hAnsi="Traditional Arabic" w:cs="Traditional Arabic" w:hint="cs"/>
          <w:sz w:val="32"/>
          <w:szCs w:val="32"/>
          <w:rtl/>
          <w:lang w:bidi="ar-DZ"/>
        </w:rPr>
        <w:t>. وفي هذه الحالة تحتسب المواعيد بحسب ما أوردته المادة 829 من ق إ م إ.</w:t>
      </w:r>
    </w:p>
    <w:p w:rsidR="005174BE" w:rsidRPr="005174BE" w:rsidRDefault="005174BE" w:rsidP="006247EC">
      <w:pPr>
        <w:bidi/>
        <w:ind w:firstLine="708"/>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مع ملاحظة </w:t>
      </w:r>
      <w:r w:rsidR="006247EC">
        <w:rPr>
          <w:rFonts w:ascii="Traditional Arabic" w:hAnsi="Traditional Arabic" w:cs="Traditional Arabic" w:hint="cs"/>
          <w:sz w:val="32"/>
          <w:szCs w:val="32"/>
          <w:rtl/>
          <w:lang w:bidi="ar-DZ"/>
        </w:rPr>
        <w:t>أخيرة</w:t>
      </w:r>
      <w:r>
        <w:rPr>
          <w:rFonts w:ascii="Traditional Arabic" w:hAnsi="Traditional Arabic" w:cs="Traditional Arabic" w:hint="cs"/>
          <w:sz w:val="32"/>
          <w:szCs w:val="32"/>
          <w:rtl/>
          <w:lang w:bidi="ar-DZ"/>
        </w:rPr>
        <w:t xml:space="preserve"> </w:t>
      </w:r>
      <w:proofErr w:type="gramStart"/>
      <w:r w:rsidR="006247EC">
        <w:rPr>
          <w:rFonts w:ascii="Traditional Arabic" w:hAnsi="Traditional Arabic" w:cs="Traditional Arabic" w:hint="cs"/>
          <w:sz w:val="32"/>
          <w:szCs w:val="32"/>
          <w:rtl/>
          <w:lang w:bidi="ar-DZ"/>
        </w:rPr>
        <w:t>هو</w:t>
      </w:r>
      <w:proofErr w:type="gramEnd"/>
      <w:r w:rsidR="006247EC">
        <w:rPr>
          <w:rFonts w:ascii="Traditional Arabic" w:hAnsi="Traditional Arabic" w:cs="Traditional Arabic" w:hint="cs"/>
          <w:sz w:val="32"/>
          <w:szCs w:val="32"/>
          <w:rtl/>
          <w:lang w:bidi="ar-DZ"/>
        </w:rPr>
        <w:t xml:space="preserve"> وجود طعن خاص أمام لجان الطعن.</w:t>
      </w:r>
    </w:p>
    <w:p w:rsidR="006B4E26" w:rsidRPr="002A33A7" w:rsidRDefault="0028354E" w:rsidP="003A61B7">
      <w:pPr>
        <w:bidi/>
        <w:rPr>
          <w:rFonts w:ascii="Simplified Arabic" w:hAnsi="Simplified Arabic" w:cs="Simplified Arabic"/>
          <w:b/>
          <w:bCs/>
          <w:sz w:val="28"/>
          <w:szCs w:val="28"/>
          <w:rtl/>
          <w:lang w:bidi="ar-DZ"/>
        </w:rPr>
      </w:pPr>
      <w:r w:rsidRPr="002A33A7">
        <w:rPr>
          <w:rFonts w:ascii="Simplified Arabic" w:hAnsi="Simplified Arabic" w:cs="Simplified Arabic"/>
          <w:b/>
          <w:bCs/>
          <w:sz w:val="28"/>
          <w:szCs w:val="28"/>
          <w:u w:val="single"/>
          <w:rtl/>
          <w:lang w:bidi="ar-DZ"/>
        </w:rPr>
        <w:t xml:space="preserve">الإجـابة </w:t>
      </w:r>
      <w:proofErr w:type="gramStart"/>
      <w:r w:rsidRPr="002A33A7">
        <w:rPr>
          <w:rFonts w:ascii="Simplified Arabic" w:hAnsi="Simplified Arabic" w:cs="Simplified Arabic"/>
          <w:b/>
          <w:bCs/>
          <w:sz w:val="28"/>
          <w:szCs w:val="28"/>
          <w:u w:val="single"/>
          <w:rtl/>
          <w:lang w:bidi="ar-DZ"/>
        </w:rPr>
        <w:t>الثـالثـة</w:t>
      </w:r>
      <w:r w:rsidRPr="002A33A7">
        <w:rPr>
          <w:rFonts w:ascii="Simplified Arabic" w:hAnsi="Simplified Arabic" w:cs="Simplified Arabic"/>
          <w:sz w:val="28"/>
          <w:szCs w:val="28"/>
          <w:u w:val="single"/>
          <w:rtl/>
          <w:lang w:bidi="ar-DZ"/>
        </w:rPr>
        <w:t xml:space="preserve"> </w:t>
      </w:r>
      <w:r w:rsidRPr="002A33A7">
        <w:rPr>
          <w:rFonts w:ascii="Simplified Arabic" w:hAnsi="Simplified Arabic" w:cs="Simplified Arabic"/>
          <w:sz w:val="28"/>
          <w:szCs w:val="28"/>
          <w:rtl/>
          <w:lang w:bidi="ar-DZ"/>
        </w:rPr>
        <w:t>:</w:t>
      </w:r>
      <w:proofErr w:type="gramEnd"/>
      <w:r w:rsidRPr="002A33A7">
        <w:rPr>
          <w:rFonts w:ascii="Simplified Arabic" w:hAnsi="Simplified Arabic" w:cs="Simplified Arabic"/>
          <w:sz w:val="28"/>
          <w:szCs w:val="28"/>
          <w:rtl/>
          <w:lang w:bidi="ar-DZ"/>
        </w:rPr>
        <w:t xml:space="preserve"> </w:t>
      </w:r>
    </w:p>
    <w:tbl>
      <w:tblPr>
        <w:bidiVisual/>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5245"/>
      </w:tblGrid>
      <w:tr w:rsidR="0056237A" w:rsidRPr="002A33A7" w:rsidTr="006247EC">
        <w:tc>
          <w:tcPr>
            <w:tcW w:w="4536" w:type="dxa"/>
          </w:tcPr>
          <w:p w:rsidR="0056237A" w:rsidRPr="002A33A7" w:rsidRDefault="0056237A" w:rsidP="0022512C">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دعاوى القضاء الكامل  </w:t>
            </w:r>
          </w:p>
        </w:tc>
        <w:tc>
          <w:tcPr>
            <w:tcW w:w="5245" w:type="dxa"/>
          </w:tcPr>
          <w:p w:rsidR="0056237A" w:rsidRPr="002A33A7" w:rsidRDefault="0056237A" w:rsidP="0022512C">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دعاوى المشروعية </w:t>
            </w:r>
          </w:p>
        </w:tc>
      </w:tr>
      <w:tr w:rsidR="0056237A" w:rsidRPr="002A33A7" w:rsidTr="006247EC">
        <w:tc>
          <w:tcPr>
            <w:tcW w:w="4536" w:type="dxa"/>
          </w:tcPr>
          <w:p w:rsidR="0056237A" w:rsidRPr="00CF522F" w:rsidRDefault="006247EC" w:rsidP="006247EC">
            <w:pPr>
              <w:bidi/>
              <w:ind w:firstLine="708"/>
              <w:jc w:val="both"/>
              <w:rPr>
                <w:rFonts w:ascii="Traditional Arabic" w:hAnsi="Traditional Arabic" w:cs="Traditional Arabic"/>
                <w:sz w:val="28"/>
                <w:szCs w:val="28"/>
                <w:rtl/>
                <w:lang w:bidi="ar-DZ"/>
              </w:rPr>
            </w:pPr>
            <w:r w:rsidRPr="00CF522F">
              <w:rPr>
                <w:rFonts w:ascii="Traditional Arabic" w:hAnsi="Traditional Arabic" w:cs="Traditional Arabic" w:hint="cs"/>
                <w:sz w:val="28"/>
                <w:szCs w:val="28"/>
                <w:rtl/>
                <w:lang w:bidi="ar-DZ"/>
              </w:rPr>
              <w:t>دعاوى المسؤولية والعقود والمنازعات الضريبية والانتخابية</w:t>
            </w:r>
            <w:r w:rsidR="0056237A" w:rsidRPr="00CF522F">
              <w:rPr>
                <w:rFonts w:ascii="Traditional Arabic" w:hAnsi="Traditional Arabic" w:cs="Traditional Arabic" w:hint="cs"/>
                <w:sz w:val="28"/>
                <w:szCs w:val="28"/>
                <w:rtl/>
                <w:lang w:bidi="ar-DZ"/>
              </w:rPr>
              <w:t xml:space="preserve"> </w:t>
            </w:r>
          </w:p>
        </w:tc>
        <w:tc>
          <w:tcPr>
            <w:tcW w:w="5245" w:type="dxa"/>
          </w:tcPr>
          <w:p w:rsidR="0056237A" w:rsidRPr="00CF522F" w:rsidRDefault="006247EC" w:rsidP="0022512C">
            <w:pPr>
              <w:bidi/>
              <w:ind w:firstLine="708"/>
              <w:jc w:val="both"/>
              <w:rPr>
                <w:rFonts w:ascii="Traditional Arabic" w:hAnsi="Traditional Arabic" w:cs="Traditional Arabic"/>
                <w:sz w:val="28"/>
                <w:szCs w:val="28"/>
                <w:rtl/>
                <w:lang w:bidi="ar-DZ"/>
              </w:rPr>
            </w:pPr>
            <w:r w:rsidRPr="00CF522F">
              <w:rPr>
                <w:rFonts w:ascii="Traditional Arabic" w:hAnsi="Traditional Arabic" w:cs="Traditional Arabic" w:hint="cs"/>
                <w:sz w:val="28"/>
                <w:szCs w:val="28"/>
                <w:rtl/>
                <w:lang w:bidi="ar-DZ"/>
              </w:rPr>
              <w:t xml:space="preserve">كل دعاوى </w:t>
            </w:r>
            <w:r w:rsidR="00CF522F" w:rsidRPr="00CF522F">
              <w:rPr>
                <w:rFonts w:ascii="Traditional Arabic" w:hAnsi="Traditional Arabic" w:cs="Traditional Arabic" w:hint="cs"/>
                <w:sz w:val="28"/>
                <w:szCs w:val="28"/>
                <w:rtl/>
                <w:lang w:bidi="ar-DZ"/>
              </w:rPr>
              <w:t>الإلغاء</w:t>
            </w:r>
            <w:r w:rsidRPr="00CF522F">
              <w:rPr>
                <w:rFonts w:ascii="Traditional Arabic" w:hAnsi="Traditional Arabic" w:cs="Traditional Arabic" w:hint="cs"/>
                <w:sz w:val="28"/>
                <w:szCs w:val="28"/>
                <w:rtl/>
                <w:lang w:bidi="ar-DZ"/>
              </w:rPr>
              <w:t xml:space="preserve"> أو </w:t>
            </w:r>
            <w:proofErr w:type="gramStart"/>
            <w:r w:rsidRPr="00CF522F">
              <w:rPr>
                <w:rFonts w:ascii="Traditional Arabic" w:hAnsi="Traditional Arabic" w:cs="Traditional Arabic" w:hint="cs"/>
                <w:sz w:val="28"/>
                <w:szCs w:val="28"/>
                <w:rtl/>
                <w:lang w:bidi="ar-DZ"/>
              </w:rPr>
              <w:t>التفسير</w:t>
            </w:r>
            <w:proofErr w:type="gramEnd"/>
            <w:r w:rsidRPr="00CF522F">
              <w:rPr>
                <w:rFonts w:ascii="Traditional Arabic" w:hAnsi="Traditional Arabic" w:cs="Traditional Arabic" w:hint="cs"/>
                <w:sz w:val="28"/>
                <w:szCs w:val="28"/>
                <w:rtl/>
                <w:lang w:bidi="ar-DZ"/>
              </w:rPr>
              <w:t xml:space="preserve"> أو فحص المشروعية ال</w:t>
            </w:r>
            <w:r w:rsidR="00CF522F" w:rsidRPr="00CF522F">
              <w:rPr>
                <w:rFonts w:ascii="Traditional Arabic" w:hAnsi="Traditional Arabic" w:cs="Traditional Arabic" w:hint="cs"/>
                <w:sz w:val="28"/>
                <w:szCs w:val="28"/>
                <w:rtl/>
                <w:lang w:bidi="ar-DZ"/>
              </w:rPr>
              <w:t>هادفة لتحقيق مبدأ المشروعية.</w:t>
            </w:r>
          </w:p>
        </w:tc>
      </w:tr>
      <w:tr w:rsidR="0056237A" w:rsidRPr="002A33A7" w:rsidTr="006247EC">
        <w:tc>
          <w:tcPr>
            <w:tcW w:w="4536" w:type="dxa"/>
          </w:tcPr>
          <w:p w:rsidR="0056237A" w:rsidRPr="00CF522F" w:rsidRDefault="006247EC" w:rsidP="0022512C">
            <w:pPr>
              <w:bidi/>
              <w:ind w:firstLine="708"/>
              <w:jc w:val="both"/>
              <w:rPr>
                <w:rFonts w:ascii="Traditional Arabic" w:hAnsi="Traditional Arabic" w:cs="Traditional Arabic"/>
                <w:sz w:val="28"/>
                <w:szCs w:val="28"/>
                <w:rtl/>
                <w:lang w:bidi="ar-DZ"/>
              </w:rPr>
            </w:pPr>
            <w:r w:rsidRPr="00CF522F">
              <w:rPr>
                <w:rFonts w:ascii="Traditional Arabic" w:hAnsi="Traditional Arabic" w:cs="Traditional Arabic" w:hint="cs"/>
                <w:sz w:val="28"/>
                <w:szCs w:val="28"/>
                <w:rtl/>
                <w:lang w:bidi="ar-DZ"/>
              </w:rPr>
              <w:t>تستند إلى حق شخصي</w:t>
            </w:r>
            <w:r w:rsidR="0056237A" w:rsidRPr="00CF522F">
              <w:rPr>
                <w:rFonts w:ascii="Traditional Arabic" w:hAnsi="Traditional Arabic" w:cs="Traditional Arabic" w:hint="cs"/>
                <w:sz w:val="28"/>
                <w:szCs w:val="28"/>
                <w:rtl/>
                <w:lang w:bidi="ar-DZ"/>
              </w:rPr>
              <w:t xml:space="preserve"> </w:t>
            </w:r>
            <w:r w:rsidR="0056237A" w:rsidRPr="00CF522F">
              <w:rPr>
                <w:rFonts w:ascii="Traditional Arabic" w:hAnsi="Traditional Arabic" w:cs="Traditional Arabic"/>
                <w:sz w:val="28"/>
                <w:szCs w:val="28"/>
                <w:rtl/>
                <w:lang w:bidi="ar-DZ"/>
              </w:rPr>
              <w:t xml:space="preserve"> </w:t>
            </w:r>
          </w:p>
        </w:tc>
        <w:tc>
          <w:tcPr>
            <w:tcW w:w="5245" w:type="dxa"/>
          </w:tcPr>
          <w:p w:rsidR="0056237A" w:rsidRPr="00CF522F" w:rsidRDefault="006247EC" w:rsidP="006247EC">
            <w:pPr>
              <w:bidi/>
              <w:ind w:firstLine="708"/>
              <w:jc w:val="both"/>
              <w:rPr>
                <w:rFonts w:ascii="Traditional Arabic" w:hAnsi="Traditional Arabic" w:cs="Traditional Arabic"/>
                <w:sz w:val="28"/>
                <w:szCs w:val="28"/>
                <w:rtl/>
                <w:lang w:bidi="ar-DZ"/>
              </w:rPr>
            </w:pPr>
            <w:r w:rsidRPr="00CF522F">
              <w:rPr>
                <w:rFonts w:ascii="Traditional Arabic" w:hAnsi="Traditional Arabic" w:cs="Traditional Arabic" w:hint="cs"/>
                <w:sz w:val="28"/>
                <w:szCs w:val="28"/>
                <w:rtl/>
                <w:lang w:bidi="ar-DZ"/>
              </w:rPr>
              <w:t>تستند إلى حق عيني وهو القرار الإداري المعيب.</w:t>
            </w:r>
            <w:r w:rsidRPr="00CF522F">
              <w:rPr>
                <w:rFonts w:ascii="Traditional Arabic" w:hAnsi="Traditional Arabic" w:cs="Traditional Arabic"/>
                <w:sz w:val="28"/>
                <w:szCs w:val="28"/>
                <w:rtl/>
                <w:lang w:bidi="ar-DZ"/>
              </w:rPr>
              <w:t xml:space="preserve"> </w:t>
            </w:r>
          </w:p>
        </w:tc>
      </w:tr>
      <w:tr w:rsidR="0056237A" w:rsidRPr="002A33A7" w:rsidTr="006247EC">
        <w:tc>
          <w:tcPr>
            <w:tcW w:w="4536" w:type="dxa"/>
          </w:tcPr>
          <w:p w:rsidR="0056237A" w:rsidRPr="00CF522F" w:rsidRDefault="006247EC" w:rsidP="0022512C">
            <w:pPr>
              <w:bidi/>
              <w:ind w:firstLine="708"/>
              <w:jc w:val="both"/>
              <w:rPr>
                <w:rFonts w:ascii="Traditional Arabic" w:hAnsi="Traditional Arabic" w:cs="Traditional Arabic"/>
                <w:sz w:val="28"/>
                <w:szCs w:val="28"/>
                <w:rtl/>
                <w:lang w:bidi="ar-DZ"/>
              </w:rPr>
            </w:pPr>
            <w:r w:rsidRPr="00CF522F">
              <w:rPr>
                <w:rFonts w:ascii="Traditional Arabic" w:hAnsi="Traditional Arabic" w:cs="Traditional Arabic" w:hint="cs"/>
                <w:sz w:val="28"/>
                <w:szCs w:val="28"/>
                <w:rtl/>
                <w:lang w:bidi="ar-DZ"/>
              </w:rPr>
              <w:t xml:space="preserve">يتشدد القاضي الإداري في شرط </w:t>
            </w:r>
            <w:r w:rsidR="00CF522F" w:rsidRPr="00CF522F">
              <w:rPr>
                <w:rFonts w:ascii="Traditional Arabic" w:hAnsi="Traditional Arabic" w:cs="Traditional Arabic" w:hint="cs"/>
                <w:sz w:val="28"/>
                <w:szCs w:val="28"/>
                <w:rtl/>
                <w:lang w:bidi="ar-DZ"/>
              </w:rPr>
              <w:t>المصلحة</w:t>
            </w:r>
            <w:r w:rsidRPr="00CF522F">
              <w:rPr>
                <w:rFonts w:ascii="Traditional Arabic" w:hAnsi="Traditional Arabic" w:cs="Traditional Arabic" w:hint="cs"/>
                <w:sz w:val="28"/>
                <w:szCs w:val="28"/>
                <w:rtl/>
                <w:lang w:bidi="ar-DZ"/>
              </w:rPr>
              <w:t xml:space="preserve"> </w:t>
            </w:r>
            <w:r w:rsidR="00DA3961">
              <w:rPr>
                <w:rFonts w:ascii="Traditional Arabic" w:hAnsi="Traditional Arabic" w:cs="Traditional Arabic" w:hint="cs"/>
                <w:sz w:val="28"/>
                <w:szCs w:val="28"/>
                <w:rtl/>
                <w:lang w:bidi="ar-DZ"/>
              </w:rPr>
              <w:t xml:space="preserve">          </w:t>
            </w:r>
            <w:r w:rsidRPr="00CF522F">
              <w:rPr>
                <w:rFonts w:ascii="Traditional Arabic" w:hAnsi="Traditional Arabic" w:cs="Traditional Arabic" w:hint="cs"/>
                <w:sz w:val="28"/>
                <w:szCs w:val="28"/>
                <w:rtl/>
                <w:lang w:bidi="ar-DZ"/>
              </w:rPr>
              <w:t>( شخصية ومباشرة )</w:t>
            </w:r>
          </w:p>
        </w:tc>
        <w:tc>
          <w:tcPr>
            <w:tcW w:w="5245" w:type="dxa"/>
          </w:tcPr>
          <w:p w:rsidR="0056237A" w:rsidRPr="00CF522F" w:rsidRDefault="006247EC" w:rsidP="0022512C">
            <w:pPr>
              <w:bidi/>
              <w:ind w:firstLine="708"/>
              <w:jc w:val="both"/>
              <w:rPr>
                <w:rFonts w:ascii="Traditional Arabic" w:hAnsi="Traditional Arabic" w:cs="Traditional Arabic"/>
                <w:sz w:val="28"/>
                <w:szCs w:val="28"/>
                <w:rtl/>
                <w:lang w:bidi="ar-DZ"/>
              </w:rPr>
            </w:pPr>
            <w:r w:rsidRPr="00CF522F">
              <w:rPr>
                <w:rFonts w:ascii="Traditional Arabic" w:hAnsi="Traditional Arabic" w:cs="Traditional Arabic" w:hint="cs"/>
                <w:sz w:val="28"/>
                <w:szCs w:val="28"/>
                <w:rtl/>
                <w:lang w:bidi="ar-DZ"/>
              </w:rPr>
              <w:t>يكفي فيها شرط المصلحة الخفيفة تحقيقا لسيادة القانون</w:t>
            </w:r>
            <w:r w:rsidR="00CF522F" w:rsidRPr="00CF522F">
              <w:rPr>
                <w:rFonts w:ascii="Traditional Arabic" w:hAnsi="Traditional Arabic" w:cs="Traditional Arabic" w:hint="cs"/>
                <w:sz w:val="28"/>
                <w:szCs w:val="28"/>
                <w:rtl/>
                <w:lang w:bidi="ar-DZ"/>
              </w:rPr>
              <w:t xml:space="preserve"> .</w:t>
            </w:r>
          </w:p>
        </w:tc>
      </w:tr>
      <w:tr w:rsidR="0056237A" w:rsidRPr="002A33A7" w:rsidTr="006247EC">
        <w:tc>
          <w:tcPr>
            <w:tcW w:w="4536" w:type="dxa"/>
          </w:tcPr>
          <w:p w:rsidR="0056237A" w:rsidRPr="00CF522F" w:rsidRDefault="00CF522F" w:rsidP="0022512C">
            <w:pPr>
              <w:bidi/>
              <w:ind w:firstLine="708"/>
              <w:jc w:val="both"/>
              <w:rPr>
                <w:rFonts w:ascii="Traditional Arabic" w:hAnsi="Traditional Arabic" w:cs="Traditional Arabic"/>
                <w:sz w:val="28"/>
                <w:szCs w:val="28"/>
                <w:rtl/>
                <w:lang w:bidi="ar-DZ"/>
              </w:rPr>
            </w:pPr>
            <w:r w:rsidRPr="00CF522F">
              <w:rPr>
                <w:rFonts w:ascii="Traditional Arabic" w:hAnsi="Traditional Arabic" w:cs="Traditional Arabic" w:hint="cs"/>
                <w:sz w:val="28"/>
                <w:szCs w:val="28"/>
                <w:rtl/>
                <w:lang w:bidi="ar-DZ"/>
              </w:rPr>
              <w:t>الاختصاص يؤول فقط للمحكمة الإدارية ( المادة 801 من ق إ م إ )</w:t>
            </w:r>
            <w:r w:rsidR="0056237A" w:rsidRPr="00CF522F">
              <w:rPr>
                <w:rFonts w:ascii="Traditional Arabic" w:hAnsi="Traditional Arabic" w:cs="Traditional Arabic" w:hint="cs"/>
                <w:sz w:val="28"/>
                <w:szCs w:val="28"/>
                <w:rtl/>
                <w:lang w:bidi="ar-DZ"/>
              </w:rPr>
              <w:t xml:space="preserve">  </w:t>
            </w:r>
            <w:r w:rsidR="0056237A" w:rsidRPr="00CF522F">
              <w:rPr>
                <w:rFonts w:ascii="Traditional Arabic" w:hAnsi="Traditional Arabic" w:cs="Traditional Arabic"/>
                <w:sz w:val="28"/>
                <w:szCs w:val="28"/>
                <w:rtl/>
                <w:lang w:bidi="ar-DZ"/>
              </w:rPr>
              <w:t xml:space="preserve"> </w:t>
            </w:r>
          </w:p>
        </w:tc>
        <w:tc>
          <w:tcPr>
            <w:tcW w:w="5245" w:type="dxa"/>
          </w:tcPr>
          <w:p w:rsidR="0056237A" w:rsidRPr="00CF522F" w:rsidRDefault="00CF522F" w:rsidP="00DA3961">
            <w:pPr>
              <w:bidi/>
              <w:ind w:firstLine="708"/>
              <w:jc w:val="both"/>
              <w:rPr>
                <w:rFonts w:ascii="Traditional Arabic" w:hAnsi="Traditional Arabic" w:cs="Traditional Arabic"/>
                <w:sz w:val="28"/>
                <w:szCs w:val="28"/>
                <w:rtl/>
                <w:lang w:bidi="ar-DZ"/>
              </w:rPr>
            </w:pPr>
            <w:r w:rsidRPr="00CF522F">
              <w:rPr>
                <w:rFonts w:ascii="Traditional Arabic" w:hAnsi="Traditional Arabic" w:cs="Traditional Arabic" w:hint="cs"/>
                <w:sz w:val="28"/>
                <w:szCs w:val="28"/>
                <w:rtl/>
                <w:lang w:bidi="ar-DZ"/>
              </w:rPr>
              <w:t xml:space="preserve">الاختصاص يؤول لكل من المحكمة الإدارية ( المادة 801 من ق إ م إ )  والمحكمة </w:t>
            </w:r>
            <w:proofErr w:type="spellStart"/>
            <w:r w:rsidRPr="00CF522F">
              <w:rPr>
                <w:rFonts w:ascii="Traditional Arabic" w:hAnsi="Traditional Arabic" w:cs="Traditional Arabic" w:hint="cs"/>
                <w:sz w:val="28"/>
                <w:szCs w:val="28"/>
                <w:rtl/>
                <w:lang w:bidi="ar-DZ"/>
              </w:rPr>
              <w:t>الاستئنافية</w:t>
            </w:r>
            <w:proofErr w:type="spellEnd"/>
            <w:r w:rsidRPr="00CF522F">
              <w:rPr>
                <w:rFonts w:ascii="Traditional Arabic" w:hAnsi="Traditional Arabic" w:cs="Traditional Arabic" w:hint="cs"/>
                <w:sz w:val="28"/>
                <w:szCs w:val="28"/>
                <w:rtl/>
                <w:lang w:bidi="ar-DZ"/>
              </w:rPr>
              <w:t xml:space="preserve"> الإدارية للجزائر</w:t>
            </w:r>
            <w:r w:rsidRPr="00CF522F">
              <w:rPr>
                <w:rFonts w:ascii="Traditional Arabic" w:hAnsi="Traditional Arabic" w:cs="Traditional Arabic"/>
                <w:sz w:val="28"/>
                <w:szCs w:val="28"/>
                <w:rtl/>
                <w:lang w:bidi="ar-DZ"/>
              </w:rPr>
              <w:t xml:space="preserve"> </w:t>
            </w:r>
            <w:r w:rsidRPr="00CF522F">
              <w:rPr>
                <w:rFonts w:ascii="Traditional Arabic" w:hAnsi="Traditional Arabic" w:cs="Traditional Arabic" w:hint="cs"/>
                <w:sz w:val="28"/>
                <w:szCs w:val="28"/>
                <w:rtl/>
                <w:lang w:bidi="ar-DZ"/>
              </w:rPr>
              <w:t>( المادة 900 مكرر من ق إ م إ )</w:t>
            </w:r>
          </w:p>
        </w:tc>
      </w:tr>
      <w:tr w:rsidR="0056237A" w:rsidRPr="002A33A7" w:rsidTr="006247EC">
        <w:tc>
          <w:tcPr>
            <w:tcW w:w="4536" w:type="dxa"/>
          </w:tcPr>
          <w:p w:rsidR="0056237A" w:rsidRPr="00CF522F" w:rsidRDefault="00CF522F" w:rsidP="00CF522F">
            <w:pPr>
              <w:bidi/>
              <w:ind w:firstLine="708"/>
              <w:jc w:val="both"/>
              <w:rPr>
                <w:rFonts w:ascii="Traditional Arabic" w:hAnsi="Traditional Arabic" w:cs="Traditional Arabic"/>
                <w:sz w:val="28"/>
                <w:szCs w:val="28"/>
                <w:rtl/>
                <w:lang w:bidi="ar-DZ"/>
              </w:rPr>
            </w:pPr>
            <w:r w:rsidRPr="00CF522F">
              <w:rPr>
                <w:rFonts w:ascii="Traditional Arabic" w:hAnsi="Traditional Arabic" w:cs="Traditional Arabic" w:hint="cs"/>
                <w:sz w:val="28"/>
                <w:szCs w:val="28"/>
                <w:rtl/>
                <w:lang w:bidi="ar-DZ"/>
              </w:rPr>
              <w:t xml:space="preserve">سلطة القاضي واسعة إلغاء أو </w:t>
            </w:r>
            <w:proofErr w:type="gramStart"/>
            <w:r w:rsidRPr="00CF522F">
              <w:rPr>
                <w:rFonts w:ascii="Traditional Arabic" w:hAnsi="Traditional Arabic" w:cs="Traditional Arabic" w:hint="cs"/>
                <w:sz w:val="28"/>
                <w:szCs w:val="28"/>
                <w:rtl/>
                <w:lang w:bidi="ar-DZ"/>
              </w:rPr>
              <w:t>تعديل</w:t>
            </w:r>
            <w:proofErr w:type="gramEnd"/>
            <w:r w:rsidRPr="00CF522F">
              <w:rPr>
                <w:rFonts w:ascii="Traditional Arabic" w:hAnsi="Traditional Arabic" w:cs="Traditional Arabic" w:hint="cs"/>
                <w:sz w:val="28"/>
                <w:szCs w:val="28"/>
                <w:rtl/>
                <w:lang w:bidi="ar-DZ"/>
              </w:rPr>
              <w:t xml:space="preserve"> القرار.</w:t>
            </w:r>
          </w:p>
        </w:tc>
        <w:tc>
          <w:tcPr>
            <w:tcW w:w="5245" w:type="dxa"/>
          </w:tcPr>
          <w:p w:rsidR="0056237A" w:rsidRPr="00CF522F" w:rsidRDefault="00CF522F" w:rsidP="0022512C">
            <w:pPr>
              <w:bidi/>
              <w:ind w:firstLine="708"/>
              <w:jc w:val="both"/>
              <w:rPr>
                <w:rFonts w:ascii="Traditional Arabic" w:hAnsi="Traditional Arabic" w:cs="Traditional Arabic"/>
                <w:sz w:val="28"/>
                <w:szCs w:val="28"/>
                <w:rtl/>
                <w:lang w:bidi="ar-DZ"/>
              </w:rPr>
            </w:pPr>
            <w:r w:rsidRPr="00CF522F">
              <w:rPr>
                <w:rFonts w:ascii="Traditional Arabic" w:hAnsi="Traditional Arabic" w:cs="Traditional Arabic" w:hint="cs"/>
                <w:sz w:val="28"/>
                <w:szCs w:val="28"/>
                <w:rtl/>
                <w:lang w:bidi="ar-DZ"/>
              </w:rPr>
              <w:t xml:space="preserve">سلطة </w:t>
            </w:r>
            <w:proofErr w:type="gramStart"/>
            <w:r w:rsidRPr="00CF522F">
              <w:rPr>
                <w:rFonts w:ascii="Traditional Arabic" w:hAnsi="Traditional Arabic" w:cs="Traditional Arabic" w:hint="cs"/>
                <w:sz w:val="28"/>
                <w:szCs w:val="28"/>
                <w:rtl/>
                <w:lang w:bidi="ar-DZ"/>
              </w:rPr>
              <w:t>القاضي</w:t>
            </w:r>
            <w:proofErr w:type="gramEnd"/>
            <w:r w:rsidRPr="00CF522F">
              <w:rPr>
                <w:rFonts w:ascii="Traditional Arabic" w:hAnsi="Traditional Arabic" w:cs="Traditional Arabic" w:hint="cs"/>
                <w:sz w:val="28"/>
                <w:szCs w:val="28"/>
                <w:rtl/>
                <w:lang w:bidi="ar-DZ"/>
              </w:rPr>
              <w:t xml:space="preserve"> مقيدة بإلغائه أو الإبقاء عليه ومع ذلك فهي مهمة.</w:t>
            </w:r>
          </w:p>
        </w:tc>
      </w:tr>
      <w:tr w:rsidR="00CF522F" w:rsidRPr="002A33A7" w:rsidTr="006247EC">
        <w:tc>
          <w:tcPr>
            <w:tcW w:w="4536" w:type="dxa"/>
          </w:tcPr>
          <w:p w:rsidR="00CF522F" w:rsidRPr="00CF522F" w:rsidRDefault="00CF522F" w:rsidP="00CF522F">
            <w:pPr>
              <w:bidi/>
              <w:ind w:firstLine="708"/>
              <w:jc w:val="both"/>
              <w:rPr>
                <w:rFonts w:ascii="Traditional Arabic" w:hAnsi="Traditional Arabic" w:cs="Traditional Arabic" w:hint="cs"/>
                <w:sz w:val="28"/>
                <w:szCs w:val="28"/>
                <w:rtl/>
                <w:lang w:bidi="ar-DZ"/>
              </w:rPr>
            </w:pPr>
            <w:r w:rsidRPr="00CF522F">
              <w:rPr>
                <w:rFonts w:ascii="Traditional Arabic" w:hAnsi="Traditional Arabic" w:cs="Traditional Arabic" w:hint="cs"/>
                <w:sz w:val="28"/>
                <w:szCs w:val="28"/>
                <w:rtl/>
                <w:lang w:bidi="ar-DZ"/>
              </w:rPr>
              <w:t xml:space="preserve">آثارها تقتصر على رافع الدعوى </w:t>
            </w:r>
          </w:p>
          <w:p w:rsidR="00CF522F" w:rsidRPr="00CF522F" w:rsidRDefault="00CF522F" w:rsidP="00CF522F">
            <w:pPr>
              <w:bidi/>
              <w:ind w:firstLine="708"/>
              <w:jc w:val="both"/>
              <w:rPr>
                <w:rFonts w:ascii="Traditional Arabic" w:hAnsi="Traditional Arabic" w:cs="Traditional Arabic" w:hint="cs"/>
                <w:sz w:val="28"/>
                <w:szCs w:val="28"/>
                <w:rtl/>
                <w:lang w:bidi="ar-DZ"/>
              </w:rPr>
            </w:pPr>
          </w:p>
        </w:tc>
        <w:tc>
          <w:tcPr>
            <w:tcW w:w="5245" w:type="dxa"/>
          </w:tcPr>
          <w:p w:rsidR="00CF522F" w:rsidRPr="00CF522F" w:rsidRDefault="00CF522F" w:rsidP="00CF522F">
            <w:pPr>
              <w:bidi/>
              <w:ind w:firstLine="708"/>
              <w:jc w:val="both"/>
              <w:rPr>
                <w:rFonts w:ascii="Traditional Arabic" w:hAnsi="Traditional Arabic" w:cs="Traditional Arabic" w:hint="cs"/>
                <w:sz w:val="28"/>
                <w:szCs w:val="28"/>
                <w:rtl/>
                <w:lang w:bidi="ar-DZ"/>
              </w:rPr>
            </w:pPr>
            <w:proofErr w:type="gramStart"/>
            <w:r w:rsidRPr="00CF522F">
              <w:rPr>
                <w:rFonts w:ascii="Traditional Arabic" w:hAnsi="Traditional Arabic" w:cs="Traditional Arabic" w:hint="cs"/>
                <w:sz w:val="28"/>
                <w:szCs w:val="28"/>
                <w:rtl/>
                <w:lang w:bidi="ar-DZ"/>
              </w:rPr>
              <w:t>آثارها</w:t>
            </w:r>
            <w:proofErr w:type="gramEnd"/>
            <w:r w:rsidRPr="00CF522F">
              <w:rPr>
                <w:rFonts w:ascii="Traditional Arabic" w:hAnsi="Traditional Arabic" w:cs="Traditional Arabic" w:hint="cs"/>
                <w:sz w:val="28"/>
                <w:szCs w:val="28"/>
                <w:rtl/>
                <w:lang w:bidi="ar-DZ"/>
              </w:rPr>
              <w:t xml:space="preserve"> يمكن أن يستفيد منها الغير بإلغاء القرار الإداري لأن الهدف هو تحقيق مبدأ </w:t>
            </w:r>
            <w:r>
              <w:rPr>
                <w:rFonts w:ascii="Traditional Arabic" w:hAnsi="Traditional Arabic" w:cs="Traditional Arabic" w:hint="cs"/>
                <w:sz w:val="28"/>
                <w:szCs w:val="28"/>
                <w:rtl/>
                <w:lang w:bidi="ar-DZ"/>
              </w:rPr>
              <w:t>المشروعية في الدولة.</w:t>
            </w:r>
            <w:r w:rsidRPr="00CF522F">
              <w:rPr>
                <w:rFonts w:ascii="Traditional Arabic" w:hAnsi="Traditional Arabic" w:cs="Traditional Arabic" w:hint="cs"/>
                <w:sz w:val="28"/>
                <w:szCs w:val="28"/>
                <w:rtl/>
                <w:lang w:bidi="ar-DZ"/>
              </w:rPr>
              <w:t xml:space="preserve"> </w:t>
            </w:r>
          </w:p>
        </w:tc>
      </w:tr>
    </w:tbl>
    <w:p w:rsidR="005174BE" w:rsidRDefault="005174BE" w:rsidP="00873A3B">
      <w:pPr>
        <w:bidi/>
        <w:rPr>
          <w:rFonts w:ascii="Simplified Arabic" w:hAnsi="Simplified Arabic" w:cs="Simplified Arabic" w:hint="cs"/>
          <w:b/>
          <w:bCs/>
          <w:sz w:val="28"/>
          <w:szCs w:val="28"/>
          <w:u w:val="single"/>
          <w:rtl/>
          <w:lang w:bidi="ar-DZ"/>
        </w:rPr>
      </w:pPr>
    </w:p>
    <w:p w:rsidR="009E5F32" w:rsidRDefault="0028354E" w:rsidP="009E5F32">
      <w:pPr>
        <w:bidi/>
        <w:rPr>
          <w:rFonts w:ascii="Simplified Arabic" w:hAnsi="Simplified Arabic" w:cs="Simplified Arabic" w:hint="cs"/>
          <w:b/>
          <w:bCs/>
          <w:sz w:val="28"/>
          <w:szCs w:val="28"/>
          <w:rtl/>
          <w:lang w:bidi="ar-DZ"/>
        </w:rPr>
      </w:pPr>
      <w:r w:rsidRPr="002A33A7">
        <w:rPr>
          <w:rFonts w:ascii="Simplified Arabic" w:hAnsi="Simplified Arabic" w:cs="Simplified Arabic"/>
          <w:b/>
          <w:bCs/>
          <w:sz w:val="28"/>
          <w:szCs w:val="28"/>
          <w:u w:val="single"/>
          <w:rtl/>
          <w:lang w:bidi="ar-DZ"/>
        </w:rPr>
        <w:t xml:space="preserve">الإجابة </w:t>
      </w:r>
      <w:proofErr w:type="gramStart"/>
      <w:r w:rsidRPr="002A33A7">
        <w:rPr>
          <w:rFonts w:ascii="Simplified Arabic" w:hAnsi="Simplified Arabic" w:cs="Simplified Arabic"/>
          <w:b/>
          <w:bCs/>
          <w:sz w:val="28"/>
          <w:szCs w:val="28"/>
          <w:u w:val="single"/>
          <w:rtl/>
          <w:lang w:bidi="ar-DZ"/>
        </w:rPr>
        <w:t>الرابعـة :</w:t>
      </w:r>
      <w:proofErr w:type="gramEnd"/>
      <w:r w:rsidRPr="002A33A7">
        <w:rPr>
          <w:rFonts w:ascii="Simplified Arabic" w:hAnsi="Simplified Arabic" w:cs="Simplified Arabic"/>
          <w:b/>
          <w:bCs/>
          <w:sz w:val="28"/>
          <w:szCs w:val="28"/>
          <w:u w:val="single"/>
          <w:rtl/>
          <w:lang w:bidi="ar-DZ"/>
        </w:rPr>
        <w:t xml:space="preserve"> </w:t>
      </w:r>
      <w:r w:rsidR="002A33A7" w:rsidRPr="002A33A7">
        <w:rPr>
          <w:rFonts w:ascii="Simplified Arabic" w:hAnsi="Simplified Arabic" w:cs="Simplified Arabic"/>
          <w:b/>
          <w:bCs/>
          <w:sz w:val="28"/>
          <w:szCs w:val="28"/>
          <w:rtl/>
          <w:lang w:bidi="ar-DZ"/>
        </w:rPr>
        <w:t xml:space="preserve">نركز على ما يلي :  </w:t>
      </w:r>
    </w:p>
    <w:p w:rsidR="009E5F32" w:rsidRDefault="009E5F32" w:rsidP="009E5F32">
      <w:pPr>
        <w:bidi/>
        <w:rPr>
          <w:rFonts w:ascii="Traditional Arabic" w:hAnsi="Traditional Arabic" w:cs="Traditional Arabic" w:hint="cs"/>
          <w:sz w:val="28"/>
          <w:szCs w:val="28"/>
          <w:rtl/>
          <w:lang w:bidi="ar-DZ"/>
        </w:rPr>
      </w:pPr>
      <w:r>
        <w:rPr>
          <w:rFonts w:ascii="Simplified Arabic" w:hAnsi="Simplified Arabic" w:cs="Simplified Arabic" w:hint="cs"/>
          <w:b/>
          <w:bCs/>
          <w:sz w:val="28"/>
          <w:szCs w:val="28"/>
          <w:rtl/>
          <w:lang w:bidi="ar-DZ"/>
        </w:rPr>
        <w:lastRenderedPageBreak/>
        <w:tab/>
      </w:r>
      <w:r w:rsidR="00DA3961" w:rsidRPr="009E5F32">
        <w:rPr>
          <w:rFonts w:ascii="Traditional Arabic" w:hAnsi="Traditional Arabic" w:cs="Traditional Arabic" w:hint="cs"/>
          <w:sz w:val="28"/>
          <w:szCs w:val="28"/>
          <w:rtl/>
          <w:lang w:bidi="ar-DZ"/>
        </w:rPr>
        <w:t xml:space="preserve">يعد المجال القضائي من المجالات التي يهتم </w:t>
      </w:r>
      <w:proofErr w:type="spellStart"/>
      <w:r w:rsidR="00DA3961" w:rsidRPr="009E5F32">
        <w:rPr>
          <w:rFonts w:ascii="Traditional Arabic" w:hAnsi="Traditional Arabic" w:cs="Traditional Arabic" w:hint="cs"/>
          <w:sz w:val="28"/>
          <w:szCs w:val="28"/>
          <w:rtl/>
          <w:lang w:bidi="ar-DZ"/>
        </w:rPr>
        <w:t>بها</w:t>
      </w:r>
      <w:proofErr w:type="spellEnd"/>
      <w:r w:rsidR="00DA3961" w:rsidRPr="009E5F32">
        <w:rPr>
          <w:rFonts w:ascii="Traditional Arabic" w:hAnsi="Traditional Arabic" w:cs="Traditional Arabic" w:hint="cs"/>
          <w:sz w:val="28"/>
          <w:szCs w:val="28"/>
          <w:rtl/>
          <w:lang w:bidi="ar-DZ"/>
        </w:rPr>
        <w:t xml:space="preserve"> الدستور </w:t>
      </w:r>
      <w:proofErr w:type="gramStart"/>
      <w:r w:rsidRPr="009E5F32">
        <w:rPr>
          <w:rFonts w:ascii="Traditional Arabic" w:hAnsi="Traditional Arabic" w:cs="Traditional Arabic" w:hint="cs"/>
          <w:sz w:val="28"/>
          <w:szCs w:val="28"/>
          <w:rtl/>
          <w:lang w:bidi="ar-DZ"/>
        </w:rPr>
        <w:t>لكونه</w:t>
      </w:r>
      <w:proofErr w:type="gramEnd"/>
      <w:r w:rsidRPr="009E5F32">
        <w:rPr>
          <w:rFonts w:ascii="Traditional Arabic" w:hAnsi="Traditional Arabic" w:cs="Traditional Arabic" w:hint="cs"/>
          <w:sz w:val="28"/>
          <w:szCs w:val="28"/>
          <w:rtl/>
          <w:lang w:bidi="ar-DZ"/>
        </w:rPr>
        <w:t xml:space="preserve"> تتعلق بمجالات حيوية للمجتمع. من أجل حماية الحقوق والحريات الأساسية للأفراد.</w:t>
      </w:r>
    </w:p>
    <w:p w:rsidR="009E5F32" w:rsidRDefault="009E5F32" w:rsidP="009E5F32">
      <w:pPr>
        <w:bidi/>
        <w:rPr>
          <w:rFonts w:ascii="Traditional Arabic" w:hAnsi="Traditional Arabic" w:cs="Traditional Arabic" w:hint="cs"/>
          <w:sz w:val="28"/>
          <w:szCs w:val="28"/>
          <w:rtl/>
          <w:lang w:bidi="ar-DZ"/>
        </w:rPr>
      </w:pPr>
      <w:r w:rsidRPr="009E5F32">
        <w:rPr>
          <w:rFonts w:ascii="Traditional Arabic" w:hAnsi="Traditional Arabic" w:cs="Traditional Arabic" w:hint="cs"/>
          <w:sz w:val="28"/>
          <w:szCs w:val="28"/>
          <w:rtl/>
          <w:lang w:bidi="ar-DZ"/>
        </w:rPr>
        <w:t xml:space="preserve">وعليه يأتي القانون العضوي لينظم رأس الجهات القضائية : المحكمة العليا </w:t>
      </w:r>
      <w:r w:rsidRPr="009E5F32">
        <w:rPr>
          <w:rFonts w:ascii="Traditional Arabic" w:hAnsi="Traditional Arabic" w:cs="Traditional Arabic"/>
          <w:sz w:val="28"/>
          <w:szCs w:val="28"/>
          <w:rtl/>
          <w:lang w:bidi="ar-DZ"/>
        </w:rPr>
        <w:t>–</w:t>
      </w:r>
      <w:r w:rsidRPr="009E5F32">
        <w:rPr>
          <w:rFonts w:ascii="Traditional Arabic" w:hAnsi="Traditional Arabic" w:cs="Traditional Arabic" w:hint="cs"/>
          <w:sz w:val="28"/>
          <w:szCs w:val="28"/>
          <w:rtl/>
          <w:lang w:bidi="ar-DZ"/>
        </w:rPr>
        <w:t xml:space="preserve"> مجلس الدولة </w:t>
      </w:r>
      <w:r w:rsidRPr="009E5F32">
        <w:rPr>
          <w:rFonts w:ascii="Traditional Arabic" w:hAnsi="Traditional Arabic" w:cs="Traditional Arabic"/>
          <w:sz w:val="28"/>
          <w:szCs w:val="28"/>
          <w:rtl/>
          <w:lang w:bidi="ar-DZ"/>
        </w:rPr>
        <w:t>–</w:t>
      </w:r>
      <w:r w:rsidRPr="009E5F32">
        <w:rPr>
          <w:rFonts w:ascii="Traditional Arabic" w:hAnsi="Traditional Arabic" w:cs="Traditional Arabic" w:hint="cs"/>
          <w:sz w:val="28"/>
          <w:szCs w:val="28"/>
          <w:rtl/>
          <w:lang w:bidi="ar-DZ"/>
        </w:rPr>
        <w:t xml:space="preserve"> محكمة التنازع. </w:t>
      </w:r>
      <w:proofErr w:type="gramStart"/>
      <w:r w:rsidRPr="009E5F32">
        <w:rPr>
          <w:rFonts w:ascii="Traditional Arabic" w:hAnsi="Traditional Arabic" w:cs="Traditional Arabic" w:hint="cs"/>
          <w:sz w:val="28"/>
          <w:szCs w:val="28"/>
          <w:rtl/>
          <w:lang w:bidi="ar-DZ"/>
        </w:rPr>
        <w:t>إضافة</w:t>
      </w:r>
      <w:proofErr w:type="gramEnd"/>
      <w:r w:rsidRPr="009E5F32">
        <w:rPr>
          <w:rFonts w:ascii="Traditional Arabic" w:hAnsi="Traditional Arabic" w:cs="Traditional Arabic" w:hint="cs"/>
          <w:sz w:val="28"/>
          <w:szCs w:val="28"/>
          <w:rtl/>
          <w:lang w:bidi="ar-DZ"/>
        </w:rPr>
        <w:t xml:space="preserve"> إلى التنظيم القضائي والقانون الأساسي للقضاء.</w:t>
      </w:r>
    </w:p>
    <w:p w:rsidR="009E5F32" w:rsidRDefault="009E5F32" w:rsidP="009E5F32">
      <w:pPr>
        <w:bidi/>
        <w:rPr>
          <w:rFonts w:ascii="Traditional Arabic" w:hAnsi="Traditional Arabic" w:cs="Traditional Arabic" w:hint="cs"/>
          <w:sz w:val="28"/>
          <w:szCs w:val="28"/>
          <w:rtl/>
          <w:lang w:bidi="ar-DZ"/>
        </w:rPr>
      </w:pPr>
      <w:r w:rsidRPr="009E5F32">
        <w:rPr>
          <w:rFonts w:ascii="Traditional Arabic" w:hAnsi="Traditional Arabic" w:cs="Traditional Arabic" w:hint="cs"/>
          <w:sz w:val="28"/>
          <w:szCs w:val="28"/>
          <w:rtl/>
          <w:lang w:bidi="ar-DZ"/>
        </w:rPr>
        <w:t>و</w:t>
      </w:r>
      <w:r>
        <w:rPr>
          <w:rFonts w:ascii="Traditional Arabic" w:hAnsi="Traditional Arabic" w:cs="Traditional Arabic" w:hint="cs"/>
          <w:sz w:val="28"/>
          <w:szCs w:val="28"/>
          <w:rtl/>
          <w:lang w:bidi="ar-DZ"/>
        </w:rPr>
        <w:t>من ثمة</w:t>
      </w:r>
      <w:r w:rsidRPr="009E5F32">
        <w:rPr>
          <w:rFonts w:ascii="Traditional Arabic" w:hAnsi="Traditional Arabic" w:cs="Traditional Arabic" w:hint="cs"/>
          <w:sz w:val="28"/>
          <w:szCs w:val="28"/>
          <w:rtl/>
          <w:lang w:bidi="ar-DZ"/>
        </w:rPr>
        <w:t xml:space="preserve"> فبقية المجالات ستؤول من اختصاص القضاء العادي كما هو الحال بالنسبة للقوانين الإجرائية. </w:t>
      </w:r>
    </w:p>
    <w:p w:rsidR="009E5F32" w:rsidRDefault="009E5F32" w:rsidP="009E5F32">
      <w:pPr>
        <w:bidi/>
        <w:rPr>
          <w:rFonts w:ascii="Traditional Arabic" w:hAnsi="Traditional Arabic" w:cs="Traditional Arabic" w:hint="cs"/>
          <w:sz w:val="28"/>
          <w:szCs w:val="28"/>
          <w:rtl/>
          <w:lang w:bidi="ar-DZ"/>
        </w:rPr>
      </w:pPr>
      <w:proofErr w:type="gramStart"/>
      <w:r w:rsidRPr="009E5F32">
        <w:rPr>
          <w:rFonts w:ascii="Traditional Arabic" w:hAnsi="Traditional Arabic" w:cs="Traditional Arabic" w:hint="cs"/>
          <w:sz w:val="28"/>
          <w:szCs w:val="28"/>
          <w:rtl/>
          <w:lang w:bidi="ar-DZ"/>
        </w:rPr>
        <w:t>ونسجل</w:t>
      </w:r>
      <w:proofErr w:type="gramEnd"/>
      <w:r w:rsidRPr="009E5F32">
        <w:rPr>
          <w:rFonts w:ascii="Traditional Arabic" w:hAnsi="Traditional Arabic" w:cs="Traditional Arabic" w:hint="cs"/>
          <w:sz w:val="28"/>
          <w:szCs w:val="28"/>
          <w:rtl/>
          <w:lang w:bidi="ar-DZ"/>
        </w:rPr>
        <w:t xml:space="preserve"> قلة في المراسيم الرئاسية </w:t>
      </w:r>
      <w:r w:rsidRPr="009E5F32">
        <w:rPr>
          <w:rFonts w:ascii="Traditional Arabic" w:hAnsi="Traditional Arabic" w:cs="Traditional Arabic"/>
          <w:sz w:val="28"/>
          <w:szCs w:val="28"/>
          <w:rtl/>
          <w:lang w:bidi="ar-DZ"/>
        </w:rPr>
        <w:t>–</w:t>
      </w:r>
      <w:r w:rsidRPr="009E5F32">
        <w:rPr>
          <w:rFonts w:ascii="Traditional Arabic" w:hAnsi="Traditional Arabic" w:cs="Traditional Arabic" w:hint="cs"/>
          <w:sz w:val="28"/>
          <w:szCs w:val="28"/>
          <w:rtl/>
          <w:lang w:bidi="ar-DZ"/>
        </w:rPr>
        <w:t xml:space="preserve"> باعتبارها سلطة واسعة ومستقلة - حتى لا يبقى مجال تحكمي للسلطة التنفيذية.</w:t>
      </w:r>
    </w:p>
    <w:p w:rsidR="009E5F32" w:rsidRPr="009E5F32" w:rsidRDefault="009E5F32" w:rsidP="009E5F32">
      <w:pPr>
        <w:bidi/>
        <w:rPr>
          <w:rFonts w:ascii="Traditional Arabic" w:hAnsi="Traditional Arabic" w:cs="Traditional Arabic"/>
          <w:sz w:val="28"/>
          <w:szCs w:val="28"/>
          <w:rtl/>
          <w:lang w:bidi="ar-DZ"/>
        </w:rPr>
      </w:pPr>
      <w:r w:rsidRPr="009E5F32">
        <w:rPr>
          <w:rFonts w:ascii="Traditional Arabic" w:hAnsi="Traditional Arabic" w:cs="Traditional Arabic" w:hint="cs"/>
          <w:sz w:val="28"/>
          <w:szCs w:val="28"/>
          <w:rtl/>
          <w:lang w:bidi="ar-DZ"/>
        </w:rPr>
        <w:t xml:space="preserve">غير أنه </w:t>
      </w:r>
      <w:proofErr w:type="gramStart"/>
      <w:r w:rsidRPr="009E5F32">
        <w:rPr>
          <w:rFonts w:ascii="Traditional Arabic" w:hAnsi="Traditional Arabic" w:cs="Traditional Arabic" w:hint="cs"/>
          <w:sz w:val="28"/>
          <w:szCs w:val="28"/>
          <w:rtl/>
          <w:lang w:bidi="ar-DZ"/>
        </w:rPr>
        <w:t>يبقى</w:t>
      </w:r>
      <w:proofErr w:type="gramEnd"/>
      <w:r w:rsidRPr="009E5F32">
        <w:rPr>
          <w:rFonts w:ascii="Traditional Arabic" w:hAnsi="Traditional Arabic" w:cs="Traditional Arabic" w:hint="cs"/>
          <w:sz w:val="28"/>
          <w:szCs w:val="28"/>
          <w:rtl/>
          <w:lang w:bidi="ar-DZ"/>
        </w:rPr>
        <w:t xml:space="preserve"> للحكومة مجالا لتكملة القانون من خلال المراسيم التنفيذية للوزير الأول أو رئيس الحكومة حسب الحالة.</w:t>
      </w:r>
    </w:p>
    <w:p w:rsidR="00DA3961" w:rsidRDefault="00361950" w:rsidP="00DA3961">
      <w:pPr>
        <w:bidi/>
        <w:rPr>
          <w:b/>
          <w:bCs/>
          <w:sz w:val="32"/>
          <w:szCs w:val="32"/>
        </w:rPr>
      </w:pPr>
      <w:r>
        <w:rPr>
          <w:rFonts w:ascii="Traditional Arabic" w:hAnsi="Traditional Arabic" w:cs="Traditional Arabic"/>
          <w:sz w:val="28"/>
          <w:szCs w:val="28"/>
          <w:rtl/>
          <w:lang w:bidi="ar-DZ"/>
        </w:rPr>
        <w:tab/>
      </w:r>
    </w:p>
    <w:p w:rsidR="00A07C8E" w:rsidRPr="00FC3C3D" w:rsidRDefault="000D0955" w:rsidP="00D842C0">
      <w:pPr>
        <w:bidi/>
        <w:rPr>
          <w:rFonts w:ascii="Simplified Arabic" w:hAnsi="Simplified Arabic" w:cs="Simplified Arabic"/>
          <w:b/>
          <w:bCs/>
          <w:sz w:val="32"/>
          <w:szCs w:val="32"/>
          <w:rtl/>
          <w:lang w:bidi="ar-DZ"/>
        </w:rPr>
      </w:pPr>
      <w:r>
        <w:rPr>
          <w:rFonts w:hint="cs"/>
          <w:b/>
          <w:bCs/>
          <w:sz w:val="32"/>
          <w:szCs w:val="32"/>
          <w:rtl/>
        </w:rPr>
        <w:t xml:space="preserve"> </w:t>
      </w:r>
    </w:p>
    <w:sectPr w:rsidR="00A07C8E" w:rsidRPr="00FC3C3D" w:rsidSect="000A05E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16EB4"/>
    <w:multiLevelType w:val="hybridMultilevel"/>
    <w:tmpl w:val="529C8C1E"/>
    <w:lvl w:ilvl="0" w:tplc="D49CFC1C">
      <w:numFmt w:val="bullet"/>
      <w:lvlText w:val="-"/>
      <w:lvlJc w:val="left"/>
      <w:pPr>
        <w:ind w:left="720" w:hanging="360"/>
      </w:pPr>
      <w:rPr>
        <w:rFonts w:ascii="Simplified Arabic" w:eastAsiaTheme="minorHAnsi" w:hAnsi="Algerian"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4907B90"/>
    <w:multiLevelType w:val="hybridMultilevel"/>
    <w:tmpl w:val="5BA893BE"/>
    <w:lvl w:ilvl="0" w:tplc="4E60149E">
      <w:numFmt w:val="bullet"/>
      <w:lvlText w:val="-"/>
      <w:lvlJc w:val="left"/>
      <w:pPr>
        <w:ind w:left="1353" w:hanging="360"/>
      </w:pPr>
      <w:rPr>
        <w:rFonts w:ascii="Traditional Arabic" w:eastAsiaTheme="minorHAnsi" w:hAnsi="Traditional Arabic" w:cs="Traditional Arabic" w:hint="default"/>
        <w:lang w:bidi="ar-DZ"/>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8640D"/>
    <w:rsid w:val="00014C90"/>
    <w:rsid w:val="000A05E7"/>
    <w:rsid w:val="000D0955"/>
    <w:rsid w:val="000F73F4"/>
    <w:rsid w:val="0028002E"/>
    <w:rsid w:val="0028354E"/>
    <w:rsid w:val="002A33A7"/>
    <w:rsid w:val="002C5E0C"/>
    <w:rsid w:val="00326FF0"/>
    <w:rsid w:val="00361950"/>
    <w:rsid w:val="00383DAC"/>
    <w:rsid w:val="003A61B7"/>
    <w:rsid w:val="003B3C4B"/>
    <w:rsid w:val="004B6560"/>
    <w:rsid w:val="005174BE"/>
    <w:rsid w:val="005521A0"/>
    <w:rsid w:val="0056237A"/>
    <w:rsid w:val="006247EC"/>
    <w:rsid w:val="006B4E26"/>
    <w:rsid w:val="007049C0"/>
    <w:rsid w:val="00787F58"/>
    <w:rsid w:val="007D69FA"/>
    <w:rsid w:val="00873A3B"/>
    <w:rsid w:val="008B4112"/>
    <w:rsid w:val="009730E5"/>
    <w:rsid w:val="009E5F32"/>
    <w:rsid w:val="00A07C8E"/>
    <w:rsid w:val="00A17F27"/>
    <w:rsid w:val="00AE411A"/>
    <w:rsid w:val="00B15D65"/>
    <w:rsid w:val="00B77312"/>
    <w:rsid w:val="00BB1633"/>
    <w:rsid w:val="00C302A6"/>
    <w:rsid w:val="00CB21C1"/>
    <w:rsid w:val="00CF522F"/>
    <w:rsid w:val="00D842C0"/>
    <w:rsid w:val="00DA3961"/>
    <w:rsid w:val="00DE31A4"/>
    <w:rsid w:val="00E11AFC"/>
    <w:rsid w:val="00E8165D"/>
    <w:rsid w:val="00E8640D"/>
    <w:rsid w:val="00ED3D6E"/>
    <w:rsid w:val="00FC3C3D"/>
    <w:rsid w:val="00FD21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E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730E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433</TotalTime>
  <Pages>1</Pages>
  <Words>531</Words>
  <Characters>2922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10</cp:revision>
  <dcterms:created xsi:type="dcterms:W3CDTF">2018-06-03T23:57:00Z</dcterms:created>
  <dcterms:modified xsi:type="dcterms:W3CDTF">2025-01-25T22:05:00Z</dcterms:modified>
</cp:coreProperties>
</file>