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FE" w:rsidRPr="00314738" w:rsidRDefault="00314738" w:rsidP="00B40BB4">
      <w:pPr>
        <w:spacing w:after="120" w:line="240" w:lineRule="auto"/>
        <w:ind w:right="0" w:firstLine="567"/>
        <w:rPr>
          <w:rFonts w:ascii="Simplified Arabic" w:hAnsi="Simplified Arabic" w:cs="Simplified Arabic" w:hint="cs"/>
          <w:b/>
          <w:bCs/>
          <w:szCs w:val="32"/>
          <w:u w:val="single"/>
          <w:rtl/>
        </w:rPr>
      </w:pPr>
      <w:r w:rsidRPr="00314738">
        <w:rPr>
          <w:rFonts w:ascii="Simplified Arabic" w:hAnsi="Simplified Arabic" w:cs="Simplified Arabic" w:hint="cs"/>
          <w:b/>
          <w:bCs/>
          <w:szCs w:val="32"/>
          <w:u w:val="single"/>
          <w:rtl/>
        </w:rPr>
        <w:t>الاجابة النموذجية لمقياس الاوراق التجارية والإفلاس السنة الثالثة قانون خاص</w:t>
      </w:r>
    </w:p>
    <w:p w:rsidR="00314738" w:rsidRPr="00314738" w:rsidRDefault="00314738" w:rsidP="00B40BB4">
      <w:pPr>
        <w:spacing w:after="120" w:line="240" w:lineRule="auto"/>
        <w:ind w:right="0" w:firstLine="56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147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إجابة السؤال الاول:</w:t>
      </w:r>
    </w:p>
    <w:p w:rsidR="00B40BB4" w:rsidRPr="00DC040E" w:rsidRDefault="00314738" w:rsidP="00B40BB4">
      <w:pPr>
        <w:spacing w:after="120" w:line="240" w:lineRule="auto"/>
        <w:ind w:right="0" w:firstLine="567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نصت</w:t>
      </w:r>
      <w:r w:rsidR="00B40BB4" w:rsidRPr="00DC040E">
        <w:rPr>
          <w:rFonts w:ascii="Simplified Arabic" w:hAnsi="Simplified Arabic" w:cs="Simplified Arabic"/>
          <w:sz w:val="28"/>
          <w:szCs w:val="28"/>
          <w:rtl/>
        </w:rPr>
        <w:t xml:space="preserve"> المادة </w:t>
      </w:r>
      <w:r w:rsidR="00B40BB4" w:rsidRPr="00DC040E">
        <w:rPr>
          <w:rFonts w:ascii="Simplified Arabic" w:eastAsia="Times New Roman" w:hAnsi="Simplified Arabic" w:cs="Simplified Arabic"/>
          <w:sz w:val="28"/>
          <w:szCs w:val="28"/>
        </w:rPr>
        <w:t>410</w:t>
      </w:r>
      <w:r w:rsidR="00B40BB4" w:rsidRPr="00DC040E">
        <w:rPr>
          <w:rFonts w:ascii="Simplified Arabic" w:hAnsi="Simplified Arabic" w:cs="Simplified Arabic"/>
          <w:sz w:val="28"/>
          <w:szCs w:val="28"/>
          <w:rtl/>
        </w:rPr>
        <w:t xml:space="preserve"> قانون تجاري انه يمكن سحب </w:t>
      </w:r>
      <w:proofErr w:type="spellStart"/>
      <w:r w:rsidR="00B40BB4" w:rsidRPr="00DC040E">
        <w:rPr>
          <w:rFonts w:ascii="Simplified Arabic" w:hAnsi="Simplified Arabic" w:cs="Simplified Arabic"/>
          <w:sz w:val="28"/>
          <w:szCs w:val="28"/>
          <w:rtl/>
        </w:rPr>
        <w:t>السفتجة</w:t>
      </w:r>
      <w:proofErr w:type="spellEnd"/>
      <w:r w:rsidR="00B40BB4" w:rsidRPr="00DC040E">
        <w:rPr>
          <w:rFonts w:ascii="Simplified Arabic" w:hAnsi="Simplified Arabic" w:cs="Simplified Arabic"/>
          <w:sz w:val="28"/>
          <w:szCs w:val="28"/>
          <w:rtl/>
        </w:rPr>
        <w:t xml:space="preserve"> وفقا لطريقة من الطرق الأربعة:  </w:t>
      </w:r>
    </w:p>
    <w:p w:rsidR="00AB64FE" w:rsidRDefault="00314738" w:rsidP="00314738">
      <w:pPr>
        <w:pStyle w:val="Paragraphedeliste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لدى الاطلاع</w:t>
      </w:r>
    </w:p>
    <w:p w:rsidR="00314738" w:rsidRDefault="00314738" w:rsidP="00314738">
      <w:pPr>
        <w:pStyle w:val="Paragraphedeliste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لاجل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معين لدى الاطلاع</w:t>
      </w:r>
    </w:p>
    <w:p w:rsidR="00314738" w:rsidRDefault="00314738" w:rsidP="00314738">
      <w:pPr>
        <w:pStyle w:val="Paragraphedeliste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لاجل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معين التاريخ</w:t>
      </w:r>
    </w:p>
    <w:p w:rsidR="00314738" w:rsidRDefault="00314738" w:rsidP="00314738">
      <w:pPr>
        <w:pStyle w:val="Paragraphedeliste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ليوم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محدد</w:t>
      </w:r>
    </w:p>
    <w:p w:rsidR="00314738" w:rsidRPr="00314738" w:rsidRDefault="00314738" w:rsidP="00314738">
      <w:pPr>
        <w:ind w:left="461" w:firstLine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3147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إجابة</w:t>
      </w:r>
      <w:proofErr w:type="gramEnd"/>
      <w:r w:rsidRPr="003147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السؤال الثاني:</w:t>
      </w:r>
    </w:p>
    <w:p w:rsidR="00AB64FE" w:rsidRDefault="00AB64FE" w:rsidP="00B01F01">
      <w:pPr>
        <w:widowControl w:val="0"/>
        <w:spacing w:after="120" w:line="240" w:lineRule="auto"/>
        <w:ind w:right="0" w:firstLine="567"/>
        <w:rPr>
          <w:rFonts w:ascii="Simplified Arabic" w:hAnsi="Simplified Arabic" w:cs="Simplified Arabic" w:hint="cs"/>
          <w:sz w:val="28"/>
          <w:szCs w:val="28"/>
          <w:rtl/>
        </w:rPr>
      </w:pPr>
      <w:r w:rsidRPr="00DC040E">
        <w:rPr>
          <w:rFonts w:ascii="Simplified Arabic" w:hAnsi="Simplified Arabic" w:cs="Simplified Arabic"/>
          <w:sz w:val="28"/>
          <w:szCs w:val="28"/>
          <w:rtl/>
        </w:rPr>
        <w:t xml:space="preserve">لا تنته الوكالة بموت الموكل أو فقده لأهليته طبقا لما جاءت </w:t>
      </w:r>
      <w:proofErr w:type="spellStart"/>
      <w:r w:rsidRPr="00DC040E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DC040E">
        <w:rPr>
          <w:rFonts w:ascii="Simplified Arabic" w:hAnsi="Simplified Arabic" w:cs="Simplified Arabic"/>
          <w:sz w:val="28"/>
          <w:szCs w:val="28"/>
          <w:rtl/>
        </w:rPr>
        <w:t xml:space="preserve"> المادة </w:t>
      </w:r>
      <w:r w:rsidRPr="00DC040E">
        <w:rPr>
          <w:rFonts w:ascii="Simplified Arabic" w:eastAsia="Times New Roman" w:hAnsi="Simplified Arabic" w:cs="Simplified Arabic"/>
          <w:sz w:val="28"/>
          <w:szCs w:val="28"/>
        </w:rPr>
        <w:t>401</w:t>
      </w:r>
      <w:proofErr w:type="spellStart"/>
      <w:r w:rsidRPr="00DC040E">
        <w:rPr>
          <w:rFonts w:ascii="Simplified Arabic" w:hAnsi="Simplified Arabic" w:cs="Simplified Arabic"/>
          <w:sz w:val="28"/>
          <w:szCs w:val="28"/>
          <w:rtl/>
        </w:rPr>
        <w:t>/</w:t>
      </w:r>
      <w:proofErr w:type="spellEnd"/>
      <w:r w:rsidRPr="00DC040E">
        <w:rPr>
          <w:rFonts w:ascii="Simplified Arabic" w:eastAsia="Times New Roman" w:hAnsi="Simplified Arabic" w:cs="Simplified Arabic"/>
          <w:sz w:val="28"/>
          <w:szCs w:val="28"/>
        </w:rPr>
        <w:t>03</w:t>
      </w:r>
      <w:r w:rsidRPr="00DC040E">
        <w:rPr>
          <w:rFonts w:ascii="Simplified Arabic" w:hAnsi="Simplified Arabic" w:cs="Simplified Arabic"/>
          <w:sz w:val="28"/>
          <w:szCs w:val="28"/>
          <w:rtl/>
        </w:rPr>
        <w:t xml:space="preserve"> إذ يمكن أن يمتـد ويـستمر الوكيل في القيام بباقي </w:t>
      </w:r>
      <w:proofErr w:type="spellStart"/>
      <w:r w:rsidRPr="00DC040E">
        <w:rPr>
          <w:rFonts w:ascii="Simplified Arabic" w:hAnsi="Simplified Arabic" w:cs="Simplified Arabic"/>
          <w:sz w:val="28"/>
          <w:szCs w:val="28"/>
          <w:rtl/>
        </w:rPr>
        <w:t>الإجراءات،</w:t>
      </w:r>
      <w:proofErr w:type="spellEnd"/>
      <w:r w:rsidRPr="00DC040E">
        <w:rPr>
          <w:rFonts w:ascii="Simplified Arabic" w:hAnsi="Simplified Arabic" w:cs="Simplified Arabic"/>
          <w:sz w:val="28"/>
          <w:szCs w:val="28"/>
          <w:rtl/>
        </w:rPr>
        <w:t xml:space="preserve"> وذلك كله حماية للمعاملات التجارية وتجسيد</w:t>
      </w:r>
      <w:r w:rsidR="00B01F01">
        <w:rPr>
          <w:rFonts w:ascii="Simplified Arabic" w:hAnsi="Simplified Arabic" w:cs="Simplified Arabic"/>
          <w:sz w:val="28"/>
          <w:szCs w:val="28"/>
          <w:rtl/>
        </w:rPr>
        <w:t>ا للسرعة والائتمان التجاريين .</w:t>
      </w:r>
      <w:r w:rsidRPr="00DC040E">
        <w:rPr>
          <w:rFonts w:ascii="Simplified Arabic" w:hAnsi="Simplified Arabic" w:cs="Simplified Arabic"/>
          <w:sz w:val="28"/>
          <w:szCs w:val="28"/>
          <w:rtl/>
        </w:rPr>
        <w:t xml:space="preserve"> وطبقا لأحكام الوكالة يمكن للموكل إنهاء وكالته في أي فترة من سير الإجراءات طالما أنه لم يتم الوفاء بقيمـة </w:t>
      </w:r>
      <w:proofErr w:type="spellStart"/>
      <w:r w:rsidRPr="00DC040E">
        <w:rPr>
          <w:rFonts w:ascii="Simplified Arabic" w:hAnsi="Simplified Arabic" w:cs="Simplified Arabic"/>
          <w:sz w:val="28"/>
          <w:szCs w:val="28"/>
          <w:rtl/>
        </w:rPr>
        <w:t>السفتجة</w:t>
      </w:r>
      <w:proofErr w:type="spellEnd"/>
      <w:r w:rsidRPr="00DC040E">
        <w:rPr>
          <w:rFonts w:ascii="Simplified Arabic" w:hAnsi="Simplified Arabic" w:cs="Simplified Arabic"/>
          <w:sz w:val="28"/>
          <w:szCs w:val="28"/>
          <w:rtl/>
        </w:rPr>
        <w:t xml:space="preserve"> ويكون الإنهاء بأية عبارة تفيد ذلك </w:t>
      </w:r>
      <w:proofErr w:type="spellStart"/>
      <w:r w:rsidRPr="00DC040E">
        <w:rPr>
          <w:rFonts w:ascii="Simplified Arabic" w:hAnsi="Simplified Arabic" w:cs="Simplified Arabic"/>
          <w:sz w:val="28"/>
          <w:szCs w:val="28"/>
          <w:rtl/>
        </w:rPr>
        <w:t>موشحة</w:t>
      </w:r>
      <w:proofErr w:type="spellEnd"/>
      <w:r w:rsidRPr="00DC040E">
        <w:rPr>
          <w:rFonts w:ascii="Simplified Arabic" w:hAnsi="Simplified Arabic" w:cs="Simplified Arabic"/>
          <w:sz w:val="28"/>
          <w:szCs w:val="28"/>
          <w:rtl/>
        </w:rPr>
        <w:t xml:space="preserve"> بتوقيع الموكل أو بشطب العبارات أو الصيغ والتواقيع الدالة على التظهير.</w:t>
      </w:r>
      <w:r w:rsidRPr="00DC040E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DC040E">
        <w:rPr>
          <w:rFonts w:ascii="Simplified Arabic" w:hAnsi="Simplified Arabic" w:cs="Simplified Arabic"/>
          <w:sz w:val="28"/>
          <w:szCs w:val="28"/>
          <w:rtl/>
        </w:rPr>
        <w:t xml:space="preserve">وتنتهي وكالة المظهر إليه بشهر إفلاس المظهر ويكون لوكيل التفليسة وحده الحق في قبض قيمة السند كما يحق للمظهر عند شهر إفلاس المظهر إليه </w:t>
      </w:r>
      <w:proofErr w:type="spellStart"/>
      <w:r w:rsidRPr="00DC040E">
        <w:rPr>
          <w:rFonts w:ascii="Simplified Arabic" w:hAnsi="Simplified Arabic" w:cs="Simplified Arabic"/>
          <w:sz w:val="28"/>
          <w:szCs w:val="28"/>
          <w:rtl/>
        </w:rPr>
        <w:t>توكيليا</w:t>
      </w:r>
      <w:proofErr w:type="spellEnd"/>
      <w:r w:rsidRPr="00DC040E">
        <w:rPr>
          <w:rFonts w:ascii="Simplified Arabic" w:hAnsi="Simplified Arabic" w:cs="Simplified Arabic"/>
          <w:sz w:val="28"/>
          <w:szCs w:val="28"/>
          <w:rtl/>
        </w:rPr>
        <w:t xml:space="preserve"> أن يطالب باسترداد السند من وكيل التفليسة</w:t>
      </w:r>
      <w:r w:rsidR="00314738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.</w:t>
      </w:r>
    </w:p>
    <w:p w:rsidR="00781182" w:rsidRPr="00314738" w:rsidRDefault="00314738" w:rsidP="00314738">
      <w:pPr>
        <w:ind w:left="461" w:firstLine="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إجابة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السؤال الثالث</w:t>
      </w:r>
      <w:r w:rsidRPr="003147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781182" w:rsidRDefault="00314738" w:rsidP="00B01F01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val="fr-FR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>حسب</w:t>
      </w:r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نص</w:t>
      </w:r>
      <w:r>
        <w:rPr>
          <w:rFonts w:ascii="Simplified Arabic" w:hAnsi="Simplified Arabic" w:cs="Simplified Arabic" w:hint="cs"/>
          <w:sz w:val="28"/>
          <w:szCs w:val="28"/>
          <w:rtl/>
          <w:lang w:val="fr-FR"/>
        </w:rPr>
        <w:t xml:space="preserve"> المادة 293 ق.ت</w:t>
      </w:r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  <w:proofErr w:type="gramStart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>قرر</w:t>
      </w:r>
      <w:proofErr w:type="gramEnd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المشرع للوكيل المتصرف القضائي الحق في تسديد قيمة الدين المضمون بمنقول إلى الدائن واسترداد هذا </w:t>
      </w:r>
      <w:proofErr w:type="spellStart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>المنقول-</w:t>
      </w:r>
      <w:proofErr w:type="spellEnd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أو الضمان الصادر من </w:t>
      </w:r>
      <w:proofErr w:type="spellStart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>المدين-</w:t>
      </w:r>
      <w:proofErr w:type="spellEnd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لصالح التفليسة. </w:t>
      </w:r>
      <w:proofErr w:type="gramStart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>ويتـــم</w:t>
      </w:r>
      <w:proofErr w:type="gramEnd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هذا الحـق للوكيل المتصرف القضـــائي بعــــد إذن من القاضي المنتدب. </w:t>
      </w:r>
      <w:proofErr w:type="gramStart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>ووفقا</w:t>
      </w:r>
      <w:proofErr w:type="gramEnd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للفقرة الثانية من المادة (293 ق.ت.ج</w:t>
      </w:r>
      <w:proofErr w:type="spellStart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>)</w:t>
      </w:r>
      <w:proofErr w:type="spellEnd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</w:t>
      </w:r>
      <w:proofErr w:type="gramStart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>إذا</w:t>
      </w:r>
      <w:proofErr w:type="gramEnd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لم يقم الدائن بسحب </w:t>
      </w:r>
      <w:proofErr w:type="spellStart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>الضمان،</w:t>
      </w:r>
      <w:proofErr w:type="spellEnd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خول المشرع للوكيل المتصرف القضائي الإذن ببيع المنقولات المرهونة وهذا بعد أعذار الدائن والإذن له من طرف القاضي المنتدب. وفي حالة بيع المنقول المرهون فان الأمر </w:t>
      </w:r>
      <w:proofErr w:type="spellStart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>لايخلو</w:t>
      </w:r>
      <w:proofErr w:type="spellEnd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من أحد </w:t>
      </w:r>
      <w:proofErr w:type="spellStart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>الفرضين،</w:t>
      </w:r>
      <w:proofErr w:type="spellEnd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الأول أن تجاوز حصيلة البيع قيمة دين الدائن في هذه الحالة أوجب القانون على الوكيل المتصرف القضائي أن يحصل على القدر الزائد من ثمن البيع ويضيفه لأموال التفليسة. الفرض </w:t>
      </w:r>
      <w:proofErr w:type="spellStart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>الثاني،</w:t>
      </w:r>
      <w:proofErr w:type="spellEnd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أن يكون ثمن </w:t>
      </w:r>
      <w:proofErr w:type="spellStart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>المبيع</w:t>
      </w:r>
      <w:proofErr w:type="spellEnd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أقل من قيمة حق الدائن  المرتهن أو الممتاز فعندئذ يحصل المرتهن على كامل الثمن والجزء المتبقي له يتقدم </w:t>
      </w:r>
      <w:proofErr w:type="spellStart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>به</w:t>
      </w:r>
      <w:proofErr w:type="spellEnd"/>
      <w:r w:rsidR="00781182"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مع جماعة الدائنين بحيث أنه يزاحمهم ويخضع مثلهم بالنسبة للجانب المتبقي من حقه لقسمة الغرماء. </w:t>
      </w:r>
    </w:p>
    <w:p w:rsidR="00D66433" w:rsidRDefault="00D66433" w:rsidP="00B01F01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val="fr-FR"/>
        </w:rPr>
      </w:pPr>
    </w:p>
    <w:p w:rsidR="00781182" w:rsidRPr="00D66433" w:rsidRDefault="00D66433" w:rsidP="00D66433">
      <w:pPr>
        <w:ind w:left="461" w:firstLine="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إجابة السؤال الرابع</w:t>
      </w:r>
      <w:r w:rsidRPr="003147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781182" w:rsidRPr="00DC040E" w:rsidRDefault="00781182" w:rsidP="00314738">
      <w:pPr>
        <w:widowControl w:val="0"/>
        <w:suppressLineNumbers/>
        <w:tabs>
          <w:tab w:val="right" w:pos="611"/>
        </w:tabs>
        <w:spacing w:after="120" w:line="240" w:lineRule="auto"/>
        <w:ind w:right="0" w:firstLine="567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 فدائنو الجماعة إذن هم طائفة من الدائنين نشأت حقوقهم بعد شهر إفلاس المدين ولكن ليس قبله بل قبل جماعة الدائنين </w:t>
      </w:r>
      <w:proofErr w:type="spellStart"/>
      <w:r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>ذاتها،</w:t>
      </w:r>
      <w:proofErr w:type="spellEnd"/>
      <w:r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ودائنو الجماعة ليسوا أعضاء فيها. وبناء على ذلك فإنهم </w:t>
      </w:r>
      <w:proofErr w:type="spellStart"/>
      <w:r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>لايلتزمون</w:t>
      </w:r>
      <w:proofErr w:type="spellEnd"/>
      <w:r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بالنظم والإجراءات التي فرضها القانون على جماعة الدائنين مثل وقف الـــــدعاوى والإجراءات الــــــفردية أو إجــــــراءات تحقـــــيق </w:t>
      </w:r>
      <w:proofErr w:type="spellStart"/>
      <w:r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>الديون،</w:t>
      </w:r>
      <w:proofErr w:type="spellEnd"/>
      <w:r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فــــــدائنو الجماعة لـهم حق توقيع الحجز على أموال </w:t>
      </w:r>
      <w:proofErr w:type="spellStart"/>
      <w:r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>التفليسة،</w:t>
      </w:r>
      <w:proofErr w:type="spellEnd"/>
      <w:r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كما أنهم يستوفون حقوقهم بالأولوية من أموال التفليسة قبل توزيعها بين جماعة الدائنين. </w:t>
      </w:r>
    </w:p>
    <w:p w:rsidR="00781182" w:rsidRPr="00DC040E" w:rsidRDefault="00781182" w:rsidP="00781182">
      <w:pPr>
        <w:widowControl w:val="0"/>
        <w:suppressLineNumbers/>
        <w:tabs>
          <w:tab w:val="right" w:pos="611"/>
        </w:tabs>
        <w:spacing w:after="120" w:line="240" w:lineRule="auto"/>
        <w:ind w:right="0" w:firstLine="567"/>
        <w:rPr>
          <w:rFonts w:ascii="Simplified Arabic" w:hAnsi="Simplified Arabic" w:cs="Simplified Arabic"/>
          <w:sz w:val="28"/>
          <w:szCs w:val="28"/>
          <w:rtl/>
          <w:lang w:val="fr-FR"/>
        </w:rPr>
      </w:pPr>
      <w:r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 </w:t>
      </w:r>
      <w:proofErr w:type="gramStart"/>
      <w:r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>ومن</w:t>
      </w:r>
      <w:proofErr w:type="gramEnd"/>
      <w:r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أمثلة الديون التي تتحملها جماعة الدائنين مصاريف إدارة التفليسة كأجر الوكيل المتصرف القضائي والمحامين الذين يباشرون القضايا المتعلقة بالتفليسة وكذلك التعويض المستحق للغير عن الأضرار التي يلحقها </w:t>
      </w:r>
      <w:proofErr w:type="spellStart"/>
      <w:r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>به</w:t>
      </w:r>
      <w:proofErr w:type="spellEnd"/>
      <w:r w:rsidRPr="00DC040E">
        <w:rPr>
          <w:rFonts w:ascii="Simplified Arabic" w:hAnsi="Simplified Arabic" w:cs="Simplified Arabic"/>
          <w:sz w:val="28"/>
          <w:szCs w:val="28"/>
          <w:rtl/>
          <w:lang w:val="fr-FR"/>
        </w:rPr>
        <w:t xml:space="preserve"> الوكيل المتصرف القضائي.</w:t>
      </w:r>
    </w:p>
    <w:p w:rsidR="00781182" w:rsidRDefault="00781182" w:rsidP="00AB64FE">
      <w:pPr>
        <w:rPr>
          <w:rFonts w:ascii="Simplified Arabic" w:hAnsi="Simplified Arabic" w:cs="Simplified Arabic"/>
          <w:sz w:val="28"/>
          <w:szCs w:val="28"/>
          <w:rtl/>
        </w:rPr>
      </w:pPr>
    </w:p>
    <w:p w:rsidR="00AB64FE" w:rsidRDefault="00AB64FE" w:rsidP="00B40BB4">
      <w:pPr>
        <w:rPr>
          <w:rFonts w:ascii="Simplified Arabic" w:hAnsi="Simplified Arabic" w:cs="Simplified Arabic"/>
          <w:sz w:val="28"/>
          <w:szCs w:val="28"/>
          <w:rtl/>
        </w:rPr>
      </w:pPr>
    </w:p>
    <w:p w:rsidR="00AB64FE" w:rsidRDefault="00AB64FE" w:rsidP="00B40BB4"/>
    <w:sectPr w:rsidR="00AB64FE" w:rsidSect="0033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B6F" w:rsidRDefault="00D17B6F" w:rsidP="00AB64FE">
      <w:pPr>
        <w:spacing w:after="0" w:line="240" w:lineRule="auto"/>
      </w:pPr>
      <w:r>
        <w:separator/>
      </w:r>
    </w:p>
  </w:endnote>
  <w:endnote w:type="continuationSeparator" w:id="0">
    <w:p w:rsidR="00D17B6F" w:rsidRDefault="00D17B6F" w:rsidP="00AB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B6F" w:rsidRDefault="00D17B6F" w:rsidP="00AB64FE">
      <w:pPr>
        <w:spacing w:after="0" w:line="240" w:lineRule="auto"/>
      </w:pPr>
      <w:r>
        <w:separator/>
      </w:r>
    </w:p>
  </w:footnote>
  <w:footnote w:type="continuationSeparator" w:id="0">
    <w:p w:rsidR="00D17B6F" w:rsidRDefault="00D17B6F" w:rsidP="00AB6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D1861"/>
    <w:multiLevelType w:val="hybridMultilevel"/>
    <w:tmpl w:val="9496DEF8"/>
    <w:lvl w:ilvl="0" w:tplc="C5C82A70">
      <w:numFmt w:val="bullet"/>
      <w:lvlText w:val="-"/>
      <w:lvlJc w:val="left"/>
      <w:pPr>
        <w:ind w:left="821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BB4"/>
    <w:rsid w:val="00027072"/>
    <w:rsid w:val="00044748"/>
    <w:rsid w:val="00206E3F"/>
    <w:rsid w:val="00314738"/>
    <w:rsid w:val="0033422E"/>
    <w:rsid w:val="00781182"/>
    <w:rsid w:val="00AB64FE"/>
    <w:rsid w:val="00B01F01"/>
    <w:rsid w:val="00B40BB4"/>
    <w:rsid w:val="00D17B6F"/>
    <w:rsid w:val="00D6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B4"/>
    <w:pPr>
      <w:bidi/>
      <w:spacing w:after="5" w:line="306" w:lineRule="auto"/>
      <w:ind w:right="78" w:firstLine="461"/>
      <w:jc w:val="both"/>
    </w:pPr>
    <w:rPr>
      <w:rFonts w:ascii="Calibri" w:eastAsia="Calibri" w:hAnsi="Calibri" w:cs="Calibri"/>
      <w:color w:val="000000"/>
      <w:sz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AB64FE"/>
    <w:pPr>
      <w:spacing w:after="0" w:line="259" w:lineRule="auto"/>
      <w:ind w:left="1"/>
    </w:pPr>
    <w:rPr>
      <w:rFonts w:ascii="Calibri" w:eastAsia="Calibri" w:hAnsi="Calibri" w:cs="Calibri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AB64FE"/>
    <w:rPr>
      <w:rFonts w:ascii="Calibri" w:eastAsia="Calibri" w:hAnsi="Calibri" w:cs="Calibri"/>
      <w:color w:val="000000"/>
      <w:sz w:val="20"/>
      <w:lang w:val="en-US"/>
    </w:rPr>
  </w:style>
  <w:style w:type="character" w:customStyle="1" w:styleId="footnotemark">
    <w:name w:val="footnote mark"/>
    <w:hidden/>
    <w:rsid w:val="00AB64F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Notedebasdepage">
    <w:name w:val="footnote text"/>
    <w:basedOn w:val="Normal"/>
    <w:link w:val="NotedebasdepageCar"/>
    <w:unhideWhenUsed/>
    <w:rsid w:val="0078118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81182"/>
    <w:rPr>
      <w:rFonts w:ascii="Calibri" w:eastAsia="Calibri" w:hAnsi="Calibri" w:cs="Calibri"/>
      <w:color w:val="000000"/>
      <w:sz w:val="20"/>
      <w:szCs w:val="20"/>
      <w:lang w:val="en-US"/>
    </w:rPr>
  </w:style>
  <w:style w:type="character" w:styleId="Appelnotedebasdep">
    <w:name w:val="footnote reference"/>
    <w:basedOn w:val="Policepardfaut"/>
    <w:semiHidden/>
    <w:unhideWhenUsed/>
    <w:rsid w:val="0078118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14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Dell1</cp:lastModifiedBy>
  <cp:revision>5</cp:revision>
  <dcterms:created xsi:type="dcterms:W3CDTF">2024-05-19T19:34:00Z</dcterms:created>
  <dcterms:modified xsi:type="dcterms:W3CDTF">2024-05-19T19:56:00Z</dcterms:modified>
</cp:coreProperties>
</file>