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D9" w:rsidRDefault="00FC40D9" w:rsidP="00FC40D9">
      <w:pPr>
        <w:bidi/>
        <w:spacing w:after="0" w:line="240" w:lineRule="auto"/>
        <w:ind w:hanging="668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Pr="000A079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كلية الحقوق والعلوم السياسية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</w:t>
      </w:r>
    </w:p>
    <w:p w:rsidR="00FC40D9" w:rsidRDefault="00FC40D9" w:rsidP="00FC40D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A079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قسم الحقوق</w:t>
      </w:r>
    </w:p>
    <w:p w:rsidR="00FC40D9" w:rsidRDefault="00FC40D9" w:rsidP="00FC40D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قانون عام سنة ثانية</w:t>
      </w:r>
    </w:p>
    <w:p w:rsidR="00FC40D9" w:rsidRPr="00FC40D9" w:rsidRDefault="00FC40D9" w:rsidP="00FC40D9">
      <w:pPr>
        <w:bidi/>
        <w:spacing w:after="0" w:line="240" w:lineRule="auto"/>
        <w:ind w:left="1416" w:firstLine="708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الإجابة النموذجية لمقياس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التظام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التأديبي للموظف</w:t>
      </w: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   </w:t>
      </w:r>
    </w:p>
    <w:p w:rsidR="00FC40D9" w:rsidRDefault="00FC40D9" w:rsidP="00FC40D9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السؤال الأول</w:t>
      </w:r>
      <w:r w:rsidRPr="00340EB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Pr="002361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شرح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باختصار شديد </w:t>
      </w:r>
      <w:r w:rsidRPr="002361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أهم القواعد الشكلية والموضوعية التي يخضع لها النظام التأديبي للموظف مع </w:t>
      </w:r>
      <w:proofErr w:type="spellStart"/>
      <w:r w:rsidRPr="002361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ابراز</w:t>
      </w:r>
      <w:proofErr w:type="spellEnd"/>
      <w:r w:rsidRPr="002361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أهم الضمانات المقررة للموظف المحال على التأديب قبل وبعد المحاكمة التأديبية</w:t>
      </w:r>
      <w:r w:rsidRPr="002361E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(10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نقاط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</w:p>
    <w:p w:rsidR="00B4537E" w:rsidRPr="00E31056" w:rsidRDefault="00FC40D9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E3105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القواعد</w:t>
      </w:r>
      <w:proofErr w:type="gramEnd"/>
      <w:r w:rsidRPr="00E3105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الشكلية</w:t>
      </w:r>
      <w:r w:rsidRPr="00E3105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18578A" w:rsidRPr="00E3105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B4537E" w:rsidRPr="00E31056" w:rsidRDefault="00B4537E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نذكر المخالفات </w:t>
      </w:r>
      <w:proofErr w:type="spellStart"/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التاديبية</w:t>
      </w:r>
      <w:proofErr w:type="spellEnd"/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العقوبات المقررة  </w:t>
      </w:r>
    </w:p>
    <w:p w:rsidR="00FC40D9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مثلا </w:t>
      </w:r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بالرجوع إلى نص المادة 162 مـن الأمـر 06/03 نجدها </w:t>
      </w:r>
      <w:proofErr w:type="spellStart"/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تنص</w:t>
      </w:r>
      <w:proofErr w:type="spellEnd"/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أنه " تتخذ الإجراءات التأديبية السلطة الـتي لهـا صـلاحية التعـيي</w:t>
      </w:r>
      <w:r w:rsidR="0018578A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</w:p>
    <w:p w:rsidR="0018578A" w:rsidRPr="00E31056" w:rsidRDefault="00FC40D9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/>
          <w:sz w:val="32"/>
          <w:szCs w:val="32"/>
          <w:lang w:bidi="ar-DZ"/>
        </w:rPr>
      </w:pPr>
      <w:r w:rsidRPr="00E3105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القواعد الموضوعية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تخضع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العقوبة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التأديبية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قواعد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قانونية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عديدة </w:t>
      </w:r>
      <w:proofErr w:type="spellStart"/>
      <w:r w:rsidR="00E31056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اهمها</w:t>
      </w:r>
      <w:proofErr w:type="spellEnd"/>
      <w:r w:rsidR="00E31056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</w:p>
    <w:p w:rsidR="0018578A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/>
          <w:sz w:val="32"/>
          <w:szCs w:val="32"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مبدأ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الشخصية</w:t>
      </w:r>
    </w:p>
    <w:p w:rsidR="00FC40D9" w:rsidRPr="00E31056" w:rsidRDefault="00E31056" w:rsidP="0018578A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gramStart"/>
      <w:r w:rsidR="0018578A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مبدأ</w:t>
      </w:r>
      <w:proofErr w:type="gramEnd"/>
      <w:r w:rsidR="0018578A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18578A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التناسب</w:t>
      </w:r>
    </w:p>
    <w:p w:rsidR="00B4537E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gramStart"/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مبدأ</w:t>
      </w:r>
      <w:proofErr w:type="gramEnd"/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المساواة</w:t>
      </w:r>
    </w:p>
    <w:p w:rsidR="00B4537E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مبدأ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المشروعية</w:t>
      </w:r>
    </w:p>
    <w:p w:rsidR="00B4537E" w:rsidRPr="00E31056" w:rsidRDefault="00E31056" w:rsidP="00E31056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Start"/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تسبيب</w:t>
      </w:r>
      <w:proofErr w:type="spellEnd"/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</w:t>
      </w:r>
      <w:proofErr w:type="spellEnd"/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رت</w:t>
      </w:r>
      <w:proofErr w:type="spellEnd"/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التأديبية</w:t>
      </w:r>
    </w:p>
    <w:p w:rsidR="00B4537E" w:rsidRPr="00E31056" w:rsidRDefault="00B4537E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>-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عدم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العقاب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الخطأ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مرتين</w:t>
      </w:r>
    </w:p>
    <w:p w:rsidR="00FC40D9" w:rsidRPr="00E31056" w:rsidRDefault="00FC40D9" w:rsidP="00FC40D9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الضمانات قبل المحاكمة:</w:t>
      </w:r>
    </w:p>
    <w:p w:rsidR="00B4537E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مرحلة</w:t>
      </w:r>
      <w:proofErr w:type="gramEnd"/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التحقيق</w:t>
      </w:r>
    </w:p>
    <w:p w:rsidR="00B4537E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مرحلة</w:t>
      </w:r>
      <w:proofErr w:type="gramEnd"/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المداولة</w:t>
      </w:r>
    </w:p>
    <w:p w:rsidR="00B4537E" w:rsidRPr="00E31056" w:rsidRDefault="00E31056" w:rsidP="00E31056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مرحلة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إصدار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القر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التأديبي</w:t>
      </w:r>
    </w:p>
    <w:p w:rsidR="00B4537E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إعلام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الموظف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بالتهم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المنسوبة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إليه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B4537E" w:rsidRPr="00E31056" w:rsidRDefault="00B4537E" w:rsidP="00E31056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>-</w:t>
      </w:r>
      <w:r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إطلاع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الموظف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على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ملاه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تأديبي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B4537E" w:rsidRPr="00E31056" w:rsidRDefault="00E31056" w:rsidP="00B4537E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حق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الموظف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الإستعانة</w:t>
      </w:r>
      <w:proofErr w:type="spellEnd"/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B4537E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بمدافع</w:t>
      </w:r>
      <w:r w:rsidR="00B4537E" w:rsidRPr="00E31056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E31056" w:rsidRPr="00E31056" w:rsidRDefault="00E31056" w:rsidP="00E31056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-تبليغ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الموظف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العام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بالقرار</w:t>
      </w:r>
      <w:r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التأديبي</w:t>
      </w:r>
    </w:p>
    <w:p w:rsidR="00E31056" w:rsidRPr="00E31056" w:rsidRDefault="0018578A" w:rsidP="00E31056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3105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الضمانات بعد المحاكمة: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خصص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القانون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وسيلة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قانونية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المتمثلة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في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الرقابة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/>
          <w:sz w:val="32"/>
          <w:szCs w:val="32"/>
          <w:rtl/>
          <w:lang w:bidi="ar-DZ"/>
        </w:rPr>
        <w:t>القضائية</w:t>
      </w:r>
      <w:r w:rsid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قبله يكون </w:t>
      </w:r>
      <w:r w:rsidR="00E31056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التظلم</w:t>
      </w:r>
      <w:r w:rsidR="00E31056" w:rsidRPr="00E3105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E31056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الإداري</w:t>
      </w:r>
      <w:r w:rsid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ثم الطعن </w:t>
      </w:r>
      <w:r w:rsidR="00E31056" w:rsidRP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القضائي</w:t>
      </w:r>
      <w:r w:rsid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المتمثل في الدعوى </w:t>
      </w:r>
      <w:proofErr w:type="spellStart"/>
      <w:r w:rsidR="00E310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الادارية</w:t>
      </w:r>
      <w:proofErr w:type="spellEnd"/>
    </w:p>
    <w:p w:rsidR="00FC40D9" w:rsidRDefault="00FC40D9" w:rsidP="00FC40D9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السؤال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( 10نقاط)</w:t>
      </w:r>
    </w:p>
    <w:p w:rsidR="00FC40D9" w:rsidRDefault="00FC40D9" w:rsidP="00FC40D9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بتاريخ 11/04/2008 وظف (ي.ع)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منص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 مهندس بوزارة الموارد المائية بمقرر صادر عن الوزير ، في 24/01/2011 تم انتدابه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ولاية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بجاية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كملحق بالديوان ، بعد شهرين من العمل في الولاية قام رئيس الديوان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باعداد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تقرير ضده يتعلق بسلوكيات غير ملائمة في مكان العمل ، وهو ما تبعه نقله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دائرة 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بجاية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بتاريخ 23/03/2011و التي لم يواظب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دائما  كونه كان يدير مقاولة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اشغال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الري ، بتاريخ 25/12/2011 قام بالاعتداء بالضرب على زميله في العمل مسببا له عجز عن العمل لمدة 35 يوما حسب الشهادة الطبية المقدمة .</w:t>
      </w:r>
    </w:p>
    <w:p w:rsidR="00FC40D9" w:rsidRDefault="00FC40D9" w:rsidP="00FC40D9">
      <w:pPr>
        <w:bidi/>
        <w:spacing w:after="0" w:line="240" w:lineRule="auto"/>
        <w:ind w:left="566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تمت إحالة المتهم إلى محكمة الجنح .</w:t>
      </w:r>
    </w:p>
    <w:p w:rsidR="00FC40D9" w:rsidRDefault="00FC40D9" w:rsidP="00FC40D9">
      <w:pPr>
        <w:bidi/>
        <w:spacing w:after="0" w:line="240" w:lineRule="auto"/>
        <w:ind w:left="566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بتاريخ 06/02/2012 أخطر و كيل الجمهورية النائب بإجراءات المتابعة ضد الموظف (ب-خ) بلغ هذا الإخطار إلى ولاية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بجاية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FC40D9" w:rsidRDefault="00FC40D9" w:rsidP="00FC40D9">
      <w:pPr>
        <w:bidi/>
        <w:spacing w:after="0" w:line="240" w:lineRule="auto"/>
        <w:ind w:left="566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الوالي بصفته السلطة الرئاسية للمتهم قام بتاريخ 11/03/2012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بإيق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اف (ي-ع) من منصبه على أن لا يتقاضى راتبه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إبتداءا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تاريخ التوقيف مع الاحتفاظ له فقط بالمنح ذات الطابع العائلي.بعد قيام (ي.ع) بالطعون تبين فيما بعد أنه قام بتزوير الشهادة التي وظف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</w:t>
      </w:r>
    </w:p>
    <w:p w:rsidR="00FC40D9" w:rsidRDefault="00FC40D9" w:rsidP="00FC40D9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FC40D9" w:rsidRDefault="00FC40D9" w:rsidP="00FC40D9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FC40D9" w:rsidRDefault="00FC40D9" w:rsidP="00FC40D9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بين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أهم المسائل القانونية و الإجرائية التي تثيرها هذه القضية مع تقديم الحلول الممكنة (لهذه المسائل) مستشهدا بالنصوص القانونية. </w:t>
      </w:r>
    </w:p>
    <w:p w:rsidR="00E60403" w:rsidRDefault="00E60403" w:rsidP="00E60403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الحل :</w:t>
      </w:r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يمكن للطالب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الاجابة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باي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طريقة يشاء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سواءا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ببناء الحيثيات و تقديم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الاخطاء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وو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العقوبات المقررة لها و تبيان مدى صحة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الاجراءات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المتبعة من قبل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الادارة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ثم عرض </w:t>
      </w:r>
      <w:proofErr w:type="spellStart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اهم</w:t>
      </w:r>
      <w:proofErr w:type="spellEnd"/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السبل القضائية و الدعاوى التي تسمح للموظف بحماية حقه في حال لم تقدم الإدارة على احترام الضمانات المقررة في الأمر 06/03 </w:t>
      </w:r>
    </w:p>
    <w:p w:rsidR="00E71370" w:rsidRDefault="00E71370" w:rsidP="00E71370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عموما المسائل يمكن تلخيصها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كمايلي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</w:p>
    <w:p w:rsidR="00E60403" w:rsidRDefault="00E60403" w:rsidP="00E60403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المسألة </w:t>
      </w:r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الأولى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تحديد نوع 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الخطأ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التأديبي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512EB8" w:rsidRDefault="00512EB8" w:rsidP="00E71370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هنا الموظف أرتكب الأخطاء </w:t>
      </w:r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التأديبية </w:t>
      </w:r>
      <w:r w:rsidR="00E71370">
        <w:rPr>
          <w:rFonts w:ascii="Simplified Arabic" w:hAnsi="Simplified Arabic" w:cs="Simplified Arabic" w:hint="cs"/>
          <w:sz w:val="28"/>
          <w:szCs w:val="28"/>
          <w:rtl/>
        </w:rPr>
        <w:t>التي ذكرتها ا</w:t>
      </w:r>
      <w:r>
        <w:rPr>
          <w:rFonts w:ascii="Simplified Arabic" w:hAnsi="Simplified Arabic" w:cs="Simplified Arabic"/>
          <w:sz w:val="28"/>
          <w:szCs w:val="28"/>
          <w:rtl/>
        </w:rPr>
        <w:t>لمادة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E71370">
        <w:rPr>
          <w:rFonts w:ascii="Simplified Arabic" w:hAnsi="Simplified Arabic" w:cs="Simplified Arabic" w:hint="cs"/>
          <w:sz w:val="28"/>
          <w:szCs w:val="28"/>
          <w:rtl/>
        </w:rPr>
        <w:t xml:space="preserve"> 181</w:t>
      </w:r>
      <w:r w:rsidR="00E71370">
        <w:rPr>
          <w:rFonts w:ascii="Simplified Arabic" w:hAnsi="Simplified Arabic" w:cs="Simplified Arabic"/>
          <w:sz w:val="28"/>
          <w:szCs w:val="28"/>
        </w:rPr>
        <w:t xml:space="preserve"> </w:t>
      </w:r>
      <w:r w:rsidR="00E71370">
        <w:rPr>
          <w:rFonts w:ascii="Simplified Arabic" w:hAnsi="Simplified Arabic" w:cs="Simplified Arabic" w:hint="cs"/>
          <w:sz w:val="28"/>
          <w:szCs w:val="28"/>
          <w:rtl/>
        </w:rPr>
        <w:t xml:space="preserve">وهي </w:t>
      </w:r>
      <w:r>
        <w:rPr>
          <w:rFonts w:ascii="Simplified Arabic" w:hAnsi="Simplified Arabic" w:cs="Simplified Arabic"/>
          <w:sz w:val="28"/>
          <w:szCs w:val="28"/>
          <w:rtl/>
        </w:rPr>
        <w:t>أخطاء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الدرجة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بعة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12EB8" w:rsidRDefault="00512EB8" w:rsidP="00E71370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r w:rsidRPr="00512EB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71370">
        <w:rPr>
          <w:rFonts w:ascii="Simplified Arabic" w:hAnsi="Simplified Arabic" w:cs="Simplified Arabic" w:hint="cs"/>
          <w:sz w:val="28"/>
          <w:szCs w:val="28"/>
          <w:rtl/>
        </w:rPr>
        <w:t>ارتكاب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أعمال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شخص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مكان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العمل</w:t>
      </w:r>
      <w:r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512EB8" w:rsidRDefault="00512EB8" w:rsidP="00512EB8">
      <w:pPr>
        <w:bidi/>
        <w:spacing w:after="0" w:line="240" w:lineRule="auto"/>
        <w:ind w:left="566" w:hanging="566"/>
        <w:jc w:val="medium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2-</w:t>
      </w:r>
      <w:r w:rsidRPr="00512EB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الجمع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الوظيفة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يشتغلها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ونشاط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مربح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آخر</w:t>
      </w:r>
    </w:p>
    <w:p w:rsidR="00512EB8" w:rsidRDefault="00512EB8" w:rsidP="00512EB8">
      <w:pPr>
        <w:bidi/>
        <w:spacing w:after="0" w:line="240" w:lineRule="auto"/>
        <w:ind w:left="566" w:hanging="566"/>
        <w:jc w:val="medium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>
        <w:rPr>
          <w:rFonts w:ascii="Simplified Arabic" w:hAnsi="Simplified Arabic" w:cs="Simplified Arabic"/>
          <w:sz w:val="28"/>
          <w:szCs w:val="28"/>
          <w:rtl/>
        </w:rPr>
        <w:t>تزوير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الشهادات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المؤهلات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وثيقة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سمحت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بالتوظيف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بالترقية</w:t>
      </w:r>
    </w:p>
    <w:p w:rsidR="00E60403" w:rsidRDefault="00E60403" w:rsidP="00512EB8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المسالة الثانية : تحديد نوع العقوبة 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التأديبية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تتمثل </w:t>
      </w:r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العقوبات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نوعين حسب نص المادة 163 من </w:t>
      </w:r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الأمر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06/03</w:t>
      </w:r>
    </w:p>
    <w:p w:rsidR="00512EB8" w:rsidRDefault="00E71370" w:rsidP="00512EB8">
      <w:pPr>
        <w:bidi/>
        <w:spacing w:after="0" w:line="240" w:lineRule="auto"/>
        <w:ind w:left="566" w:hanging="566"/>
        <w:jc w:val="mediumKashida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2EB8">
        <w:rPr>
          <w:rFonts w:ascii="Simplified Arabic" w:hAnsi="Simplified Arabic" w:cs="Simplified Arabic"/>
          <w:sz w:val="28"/>
          <w:szCs w:val="28"/>
          <w:rtl/>
        </w:rPr>
        <w:t>التنزيل</w:t>
      </w:r>
      <w:r w:rsidR="00512EB8">
        <w:rPr>
          <w:rFonts w:ascii="Simplified Arabic" w:hAnsi="Simplified Arabic" w:cs="Simplified Arabic"/>
          <w:sz w:val="28"/>
          <w:szCs w:val="28"/>
        </w:rPr>
        <w:t xml:space="preserve"> </w:t>
      </w:r>
      <w:r w:rsidR="00512EB8">
        <w:rPr>
          <w:rFonts w:ascii="Simplified Arabic" w:hAnsi="Simplified Arabic" w:cs="Simplified Arabic"/>
          <w:sz w:val="28"/>
          <w:szCs w:val="28"/>
          <w:rtl/>
        </w:rPr>
        <w:t>إلى</w:t>
      </w:r>
      <w:r w:rsidR="00512EB8">
        <w:rPr>
          <w:rFonts w:ascii="Simplified Arabic" w:hAnsi="Simplified Arabic" w:cs="Simplified Arabic"/>
          <w:sz w:val="28"/>
          <w:szCs w:val="28"/>
        </w:rPr>
        <w:t xml:space="preserve"> </w:t>
      </w:r>
      <w:r w:rsidR="00512EB8">
        <w:rPr>
          <w:rFonts w:ascii="Simplified Arabic" w:hAnsi="Simplified Arabic" w:cs="Simplified Arabic"/>
          <w:sz w:val="28"/>
          <w:szCs w:val="28"/>
          <w:rtl/>
        </w:rPr>
        <w:t>الرتبة</w:t>
      </w:r>
      <w:r w:rsidR="00512EB8">
        <w:rPr>
          <w:rFonts w:ascii="Simplified Arabic" w:hAnsi="Simplified Arabic" w:cs="Simplified Arabic"/>
          <w:sz w:val="28"/>
          <w:szCs w:val="28"/>
        </w:rPr>
        <w:t xml:space="preserve"> </w:t>
      </w:r>
      <w:r w:rsidR="00512EB8">
        <w:rPr>
          <w:rFonts w:ascii="Simplified Arabic" w:hAnsi="Simplified Arabic" w:cs="Simplified Arabic"/>
          <w:sz w:val="28"/>
          <w:szCs w:val="28"/>
          <w:rtl/>
        </w:rPr>
        <w:t>السفلى</w:t>
      </w:r>
      <w:r w:rsidR="00512EB8">
        <w:rPr>
          <w:rFonts w:ascii="Simplified Arabic" w:hAnsi="Simplified Arabic" w:cs="Simplified Arabic"/>
          <w:sz w:val="28"/>
          <w:szCs w:val="28"/>
        </w:rPr>
        <w:t xml:space="preserve"> </w:t>
      </w:r>
      <w:r w:rsidR="00512EB8">
        <w:rPr>
          <w:rFonts w:ascii="Simplified Arabic" w:hAnsi="Simplified Arabic" w:cs="Simplified Arabic"/>
          <w:sz w:val="28"/>
          <w:szCs w:val="28"/>
          <w:rtl/>
        </w:rPr>
        <w:t>مباشرة</w:t>
      </w:r>
    </w:p>
    <w:p w:rsidR="00512EB8" w:rsidRDefault="00E71370" w:rsidP="00512EB8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 w:rsidR="00512EB8">
        <w:rPr>
          <w:rFonts w:ascii="Simplified Arabic" w:hAnsi="Simplified Arabic" w:cs="Simplified Arabic"/>
          <w:sz w:val="28"/>
          <w:szCs w:val="28"/>
          <w:rtl/>
        </w:rPr>
        <w:t>التسريح</w:t>
      </w:r>
      <w:proofErr w:type="gramEnd"/>
    </w:p>
    <w:p w:rsidR="00E60403" w:rsidRDefault="00512EB8" w:rsidP="00E60403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المسالة</w:t>
      </w:r>
      <w:r w:rsidR="00E604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الثالثة ـ مدى صحة إجراءات المتابعة </w:t>
      </w:r>
      <w:r w:rsidR="00E7137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التأديبية</w:t>
      </w:r>
      <w:r w:rsidR="00E6040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</w:p>
    <w:p w:rsidR="00E71370" w:rsidRDefault="00E71370" w:rsidP="00E71370">
      <w:pPr>
        <w:bidi/>
        <w:spacing w:after="0" w:line="240" w:lineRule="auto"/>
        <w:ind w:left="566" w:hanging="566"/>
        <w:jc w:val="medium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من خلال الوقائع لم تحترم الإجراءات التأديبية بصفة عامة ولكن السؤال الأهم هل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الوالي له الاختصاص الإداري في توقيف الموظف أم لا؟  </w:t>
      </w:r>
    </w:p>
    <w:p w:rsidR="00E60403" w:rsidRDefault="00E60403" w:rsidP="00541C0C">
      <w:pPr>
        <w:bidi/>
        <w:spacing w:after="0" w:line="240" w:lineRule="auto"/>
        <w:ind w:left="566" w:hanging="566"/>
        <w:jc w:val="mediumKashida"/>
        <w:rPr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المسألة </w:t>
      </w:r>
      <w:r w:rsidR="00512E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الرابعة: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يبقى للموظف طرق الطعن القضائي للمطالبة بحقه المتمثل في </w:t>
      </w:r>
      <w:proofErr w:type="spellStart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الزام</w:t>
      </w:r>
      <w:proofErr w:type="spellEnd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الادارة</w:t>
      </w:r>
      <w:proofErr w:type="spellEnd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بالتطبيق الصحيح للقانون و لكن موقفه ضعيف لكونه متابع بجريمة التزوير و أيضا </w:t>
      </w:r>
      <w:proofErr w:type="spellStart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الإعتداء</w:t>
      </w:r>
      <w:proofErr w:type="spellEnd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عبى</w:t>
      </w:r>
      <w:proofErr w:type="spellEnd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زميله و هي جنح تحرمه الحق في الوظيفة و تفقده الضمانات المقررة في </w:t>
      </w:r>
      <w:proofErr w:type="spellStart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الإمر</w:t>
      </w:r>
      <w:proofErr w:type="spellEnd"/>
      <w:r w:rsidR="00541C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06/03</w:t>
      </w:r>
    </w:p>
    <w:p w:rsidR="00D930FD" w:rsidRDefault="00D930FD"/>
    <w:sectPr w:rsidR="00D930FD" w:rsidSect="00D93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C40D9"/>
    <w:rsid w:val="0018578A"/>
    <w:rsid w:val="00260F6E"/>
    <w:rsid w:val="00512EB8"/>
    <w:rsid w:val="00541C0C"/>
    <w:rsid w:val="00B4537E"/>
    <w:rsid w:val="00D930FD"/>
    <w:rsid w:val="00E31056"/>
    <w:rsid w:val="00E60403"/>
    <w:rsid w:val="00E71370"/>
    <w:rsid w:val="00FC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OXA-COM</dc:creator>
  <cp:lastModifiedBy>OXA-COM</cp:lastModifiedBy>
  <cp:revision>2</cp:revision>
  <dcterms:created xsi:type="dcterms:W3CDTF">2024-01-20T19:59:00Z</dcterms:created>
  <dcterms:modified xsi:type="dcterms:W3CDTF">2024-01-20T21:04:00Z</dcterms:modified>
</cp:coreProperties>
</file>