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16" w:rsidRDefault="00515216" w:rsidP="00C608F8">
      <w:pPr>
        <w:bidi/>
        <w:rPr>
          <w:b/>
          <w:bCs/>
          <w:sz w:val="32"/>
          <w:szCs w:val="32"/>
          <w:lang w:val="en-US" w:bidi="ar-DZ"/>
        </w:rPr>
      </w:pPr>
    </w:p>
    <w:p w:rsidR="007F3DF8" w:rsidRPr="00B952D9" w:rsidRDefault="007F3DF8" w:rsidP="00515216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B952D9">
        <w:rPr>
          <w:rFonts w:hint="cs"/>
          <w:b/>
          <w:bCs/>
          <w:sz w:val="32"/>
          <w:szCs w:val="32"/>
          <w:rtl/>
          <w:lang w:val="en-US" w:bidi="ar-DZ"/>
        </w:rPr>
        <w:t>جامعة العربي بن مهيدي ام البواقي</w:t>
      </w:r>
    </w:p>
    <w:p w:rsidR="007F3DF8" w:rsidRPr="00B952D9" w:rsidRDefault="007F3DF8" w:rsidP="003B57D6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B952D9">
        <w:rPr>
          <w:rFonts w:hint="cs"/>
          <w:b/>
          <w:bCs/>
          <w:sz w:val="32"/>
          <w:szCs w:val="32"/>
          <w:rtl/>
          <w:lang w:val="en-US" w:bidi="ar-DZ"/>
        </w:rPr>
        <w:t xml:space="preserve">كلية الحقوق </w:t>
      </w:r>
      <w:proofErr w:type="gramStart"/>
      <w:r w:rsidRPr="00B952D9">
        <w:rPr>
          <w:rFonts w:hint="cs"/>
          <w:b/>
          <w:bCs/>
          <w:sz w:val="32"/>
          <w:szCs w:val="32"/>
          <w:rtl/>
          <w:lang w:val="en-US" w:bidi="ar-DZ"/>
        </w:rPr>
        <w:t>و العلوم</w:t>
      </w:r>
      <w:proofErr w:type="gramEnd"/>
      <w:r w:rsidRPr="00B952D9">
        <w:rPr>
          <w:rFonts w:hint="cs"/>
          <w:b/>
          <w:bCs/>
          <w:sz w:val="32"/>
          <w:szCs w:val="32"/>
          <w:rtl/>
          <w:lang w:val="en-US" w:bidi="ar-DZ"/>
        </w:rPr>
        <w:t xml:space="preserve"> السياسية</w:t>
      </w:r>
    </w:p>
    <w:p w:rsidR="007F3DF8" w:rsidRPr="00B952D9" w:rsidRDefault="007F3DF8" w:rsidP="003B57D6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B952D9">
        <w:rPr>
          <w:rFonts w:hint="cs"/>
          <w:b/>
          <w:bCs/>
          <w:sz w:val="32"/>
          <w:szCs w:val="32"/>
          <w:rtl/>
          <w:lang w:val="en-US" w:bidi="ar-DZ"/>
        </w:rPr>
        <w:t>ا</w:t>
      </w:r>
      <w:r w:rsidR="00C14E3B">
        <w:rPr>
          <w:rFonts w:hint="cs"/>
          <w:b/>
          <w:bCs/>
          <w:sz w:val="32"/>
          <w:szCs w:val="32"/>
          <w:rtl/>
          <w:lang w:val="en-US" w:bidi="ar-DZ"/>
        </w:rPr>
        <w:t xml:space="preserve">لسنة الاولى ماستر قانون عام </w:t>
      </w:r>
    </w:p>
    <w:p w:rsidR="00C26A8E" w:rsidRPr="003B57D6" w:rsidRDefault="00F83DBD" w:rsidP="000C0644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إجابة </w:t>
      </w:r>
      <w:bookmarkStart w:id="0" w:name="_GoBack"/>
      <w:bookmarkEnd w:id="0"/>
      <w:r w:rsidR="00B952D9">
        <w:rPr>
          <w:rFonts w:hint="cs"/>
          <w:b/>
          <w:bCs/>
          <w:sz w:val="32"/>
          <w:szCs w:val="32"/>
          <w:rtl/>
          <w:lang w:val="en-US" w:bidi="ar-DZ"/>
        </w:rPr>
        <w:t xml:space="preserve">امتحان </w:t>
      </w:r>
      <w:r w:rsidR="00C14E3B">
        <w:rPr>
          <w:rFonts w:hint="cs"/>
          <w:b/>
          <w:bCs/>
          <w:sz w:val="32"/>
          <w:szCs w:val="32"/>
          <w:rtl/>
          <w:lang w:val="en-US" w:bidi="ar-DZ"/>
        </w:rPr>
        <w:t>السداسي الثاني</w:t>
      </w:r>
      <w:r w:rsidR="000C0644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7F3DF8" w:rsidRPr="00B952D9">
        <w:rPr>
          <w:rFonts w:hint="cs"/>
          <w:b/>
          <w:bCs/>
          <w:sz w:val="32"/>
          <w:szCs w:val="32"/>
          <w:rtl/>
          <w:lang w:val="en-US" w:bidi="ar-DZ"/>
        </w:rPr>
        <w:t xml:space="preserve"> في مادة " </w:t>
      </w:r>
      <w:r w:rsidR="00841707">
        <w:rPr>
          <w:rFonts w:hint="cs"/>
          <w:b/>
          <w:bCs/>
          <w:sz w:val="32"/>
          <w:szCs w:val="32"/>
          <w:rtl/>
          <w:lang w:val="en-US" w:bidi="ar-DZ"/>
        </w:rPr>
        <w:t xml:space="preserve">قانون </w:t>
      </w:r>
      <w:r w:rsidR="00C14E3B">
        <w:rPr>
          <w:rFonts w:hint="cs"/>
          <w:b/>
          <w:bCs/>
          <w:sz w:val="32"/>
          <w:szCs w:val="32"/>
          <w:rtl/>
          <w:lang w:val="en-US" w:bidi="ar-DZ"/>
        </w:rPr>
        <w:t>حقوق الانسان</w:t>
      </w:r>
      <w:r w:rsidR="007F3DF8" w:rsidRPr="00B952D9">
        <w:rPr>
          <w:rFonts w:hint="cs"/>
          <w:b/>
          <w:bCs/>
          <w:sz w:val="32"/>
          <w:szCs w:val="32"/>
          <w:rtl/>
          <w:lang w:val="en-US" w:bidi="ar-DZ"/>
        </w:rPr>
        <w:t xml:space="preserve"> "</w:t>
      </w:r>
    </w:p>
    <w:p w:rsidR="009F4EF8" w:rsidRDefault="009F4EF8" w:rsidP="009F4EF8">
      <w:pPr>
        <w:bidi/>
        <w:jc w:val="both"/>
        <w:rPr>
          <w:sz w:val="32"/>
          <w:szCs w:val="32"/>
          <w:lang w:val="en-US" w:bidi="ar-DZ"/>
        </w:rPr>
      </w:pPr>
    </w:p>
    <w:p w:rsidR="00195257" w:rsidRPr="00EA75D3" w:rsidRDefault="00515216" w:rsidP="009F4EF8">
      <w:pPr>
        <w:bidi/>
        <w:jc w:val="both"/>
        <w:rPr>
          <w:b/>
          <w:bCs/>
          <w:sz w:val="40"/>
          <w:szCs w:val="40"/>
          <w:lang w:val="en-US" w:bidi="ar-DZ"/>
        </w:rPr>
      </w:pPr>
      <w:r w:rsidRPr="00EA75D3">
        <w:rPr>
          <w:b/>
          <w:bCs/>
          <w:sz w:val="40"/>
          <w:szCs w:val="40"/>
          <w:lang w:val="en-US" w:bidi="ar-DZ"/>
        </w:rPr>
        <w:t xml:space="preserve">    </w:t>
      </w:r>
      <w:r w:rsidR="007F3DF8" w:rsidRPr="00EA75D3">
        <w:rPr>
          <w:rFonts w:hint="cs"/>
          <w:b/>
          <w:bCs/>
          <w:sz w:val="40"/>
          <w:szCs w:val="40"/>
          <w:rtl/>
          <w:lang w:val="en-US" w:bidi="ar-DZ"/>
        </w:rPr>
        <w:t>أجب عما يلي:</w:t>
      </w:r>
    </w:p>
    <w:p w:rsidR="008738B5" w:rsidRDefault="009F4EF8" w:rsidP="009F4EF8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يشترك مجلس حقوق الانسان ولجان حقوق الانسان في اختصاصين، ما هما</w:t>
      </w:r>
      <w:r w:rsidR="00B61E5B" w:rsidRPr="00AD6033">
        <w:rPr>
          <w:rFonts w:hint="cs"/>
          <w:b/>
          <w:bCs/>
          <w:sz w:val="36"/>
          <w:szCs w:val="36"/>
          <w:rtl/>
          <w:lang w:val="en-US" w:bidi="ar-DZ"/>
        </w:rPr>
        <w:t>؟</w:t>
      </w:r>
      <w:r w:rsidR="004A5B69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99492C">
        <w:rPr>
          <w:rFonts w:hint="cs"/>
          <w:b/>
          <w:bCs/>
          <w:sz w:val="36"/>
          <w:szCs w:val="36"/>
          <w:rtl/>
          <w:lang w:val="en-US" w:bidi="ar-DZ"/>
        </w:rPr>
        <w:t>(</w:t>
      </w:r>
      <w:r>
        <w:rPr>
          <w:rFonts w:hint="cs"/>
          <w:b/>
          <w:bCs/>
          <w:sz w:val="36"/>
          <w:szCs w:val="36"/>
          <w:rtl/>
          <w:lang w:val="en-US" w:bidi="ar-DZ"/>
        </w:rPr>
        <w:t>2</w:t>
      </w:r>
      <w:r w:rsidR="0099492C">
        <w:rPr>
          <w:rFonts w:hint="cs"/>
          <w:b/>
          <w:bCs/>
          <w:sz w:val="36"/>
          <w:szCs w:val="36"/>
          <w:rtl/>
          <w:lang w:val="en-US" w:bidi="ar-DZ"/>
        </w:rPr>
        <w:t>ن)</w:t>
      </w:r>
      <w:r>
        <w:rPr>
          <w:rFonts w:hint="cs"/>
          <w:b/>
          <w:bCs/>
          <w:sz w:val="36"/>
          <w:szCs w:val="36"/>
          <w:rtl/>
          <w:lang w:val="en-US" w:bidi="ar-DZ"/>
        </w:rPr>
        <w:t>. وما الفرق عند ممارسة هاذين الاختصاصين؟ (4ن)</w:t>
      </w:r>
    </w:p>
    <w:p w:rsidR="009F4EF8" w:rsidRDefault="009F4EF8" w:rsidP="00AD6033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الاختصاصين المشتركين هما: نظام التقارير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 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                  نظام </w:t>
      </w:r>
      <w:proofErr w:type="gramStart"/>
      <w:r>
        <w:rPr>
          <w:rFonts w:hint="cs"/>
          <w:sz w:val="28"/>
          <w:szCs w:val="28"/>
          <w:rtl/>
          <w:lang w:val="en-US" w:bidi="ar-DZ"/>
        </w:rPr>
        <w:t xml:space="preserve">الشكاوى 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</w:t>
      </w:r>
      <w:proofErr w:type="gramEnd"/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 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الفرق عند ممارسة هاذين الاختصاصين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بالنسبة لنظام التقارير: التقرير المقدم لمجلس حقوق الانسان يكون شاملا لجميع حقوق الانسان السائدة في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الدولة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</w:t>
      </w:r>
      <w:proofErr w:type="gramEnd"/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 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بالنسبة للتقرير المقدم للجان حقوق الانسان يكون مشتملا إلا للحق الذي تغطيه الاتفاقية المنشأة للجنة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 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بالنسبة للشكاوى أمام مجلس حقوق الانسان </w:t>
      </w:r>
      <w:r w:rsidR="00FA034C">
        <w:rPr>
          <w:rFonts w:hint="cs"/>
          <w:sz w:val="28"/>
          <w:szCs w:val="28"/>
          <w:rtl/>
          <w:lang w:val="en-US" w:bidi="ar-DZ"/>
        </w:rPr>
        <w:t xml:space="preserve">لا </w:t>
      </w:r>
      <w:r>
        <w:rPr>
          <w:rFonts w:hint="cs"/>
          <w:sz w:val="28"/>
          <w:szCs w:val="28"/>
          <w:rtl/>
          <w:lang w:val="en-US" w:bidi="ar-DZ"/>
        </w:rPr>
        <w:t>ينظر هذا الأخير الا في</w:t>
      </w:r>
      <w:r w:rsidR="00FA034C">
        <w:rPr>
          <w:rFonts w:hint="cs"/>
          <w:sz w:val="28"/>
          <w:szCs w:val="28"/>
          <w:rtl/>
          <w:lang w:val="en-US" w:bidi="ar-DZ"/>
        </w:rPr>
        <w:t xml:space="preserve"> الشكاوى التي تتضمن نمط ثابت وجس</w:t>
      </w:r>
      <w:r>
        <w:rPr>
          <w:rFonts w:hint="cs"/>
          <w:sz w:val="28"/>
          <w:szCs w:val="28"/>
          <w:rtl/>
          <w:lang w:val="en-US" w:bidi="ar-DZ"/>
        </w:rPr>
        <w:t>يم                    لانتهاكات حقوق الانسان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 1ن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بالنسبة للشكاوى امام لجان حقوق الانسان تنظر هذه الأخيرة في الانتهاكات المرتبطة بالحق الذي تغطيه الاتفاقية فقط ووفق شروط المقبولية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 ن</w:t>
      </w:r>
    </w:p>
    <w:p w:rsidR="00BB6F6E" w:rsidRDefault="009F4EF8" w:rsidP="009F4EF8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من بين نظام الإجراءات الخاصة، من يمكنه مخاطبة الجزائر؟ (2ن)، علل؟ (2ن)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يوجد نوعان من الإجراءات الخاصة، الإجراءات القطرية والإجراءات </w:t>
      </w:r>
      <w:proofErr w:type="spellStart"/>
      <w:proofErr w:type="gramStart"/>
      <w:r>
        <w:rPr>
          <w:rFonts w:hint="cs"/>
          <w:sz w:val="28"/>
          <w:szCs w:val="28"/>
          <w:rtl/>
          <w:lang w:val="en-US" w:bidi="ar-DZ"/>
        </w:rPr>
        <w:t>المواضيعية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وهذه الأخيرة </w:t>
      </w:r>
      <w:r>
        <w:rPr>
          <w:sz w:val="28"/>
          <w:szCs w:val="28"/>
          <w:rtl/>
          <w:lang w:val="en-US" w:bidi="ar-DZ"/>
        </w:rPr>
        <w:t>–</w:t>
      </w:r>
      <w:r>
        <w:rPr>
          <w:rFonts w:hint="cs"/>
          <w:sz w:val="28"/>
          <w:szCs w:val="28"/>
          <w:rtl/>
          <w:lang w:val="en-US" w:bidi="ar-DZ"/>
        </w:rPr>
        <w:t xml:space="preserve"> الإجراءات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المواضيعية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هي التي يمكنها مخاطبة الجزائر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2 ن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التعليل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2 </w:t>
      </w:r>
      <w:proofErr w:type="gramStart"/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ن </w:t>
      </w:r>
      <w:r>
        <w:rPr>
          <w:rFonts w:hint="cs"/>
          <w:sz w:val="28"/>
          <w:szCs w:val="28"/>
          <w:rtl/>
          <w:lang w:val="en-US" w:bidi="ar-DZ"/>
        </w:rPr>
        <w:t>: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- لأن الإجراءات القطرية موجهة للأقطار أو البلدان التي تشهد انتهاكات شديدة لحقوق الانسان والجزائر </w:t>
      </w:r>
      <w:r>
        <w:rPr>
          <w:sz w:val="28"/>
          <w:szCs w:val="28"/>
          <w:rtl/>
          <w:lang w:val="en-US" w:bidi="ar-DZ"/>
        </w:rPr>
        <w:t>–</w:t>
      </w:r>
      <w:r>
        <w:rPr>
          <w:rFonts w:hint="cs"/>
          <w:sz w:val="28"/>
          <w:szCs w:val="28"/>
          <w:rtl/>
          <w:lang w:val="en-US" w:bidi="ar-DZ"/>
        </w:rPr>
        <w:t xml:space="preserve"> الحمد لله </w:t>
      </w:r>
      <w:r>
        <w:rPr>
          <w:sz w:val="28"/>
          <w:szCs w:val="28"/>
          <w:rtl/>
          <w:lang w:val="en-US" w:bidi="ar-DZ"/>
        </w:rPr>
        <w:t>–</w:t>
      </w:r>
      <w:r>
        <w:rPr>
          <w:rFonts w:hint="cs"/>
          <w:sz w:val="28"/>
          <w:szCs w:val="28"/>
          <w:rtl/>
          <w:lang w:val="en-US" w:bidi="ar-DZ"/>
        </w:rPr>
        <w:t xml:space="preserve"> بعيدة كل البعد عن مثل هذه الانتهاكات لحقوق الانسان وبالتالي لا يتخيل أن ينشأ اجراء قطري يخاطب الجزائر</w:t>
      </w:r>
    </w:p>
    <w:p w:rsidR="00EF364F" w:rsidRPr="009F4EF8" w:rsidRDefault="00FA034C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في حين ان الاجراء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المواضيعي</w:t>
      </w:r>
      <w:proofErr w:type="spellEnd"/>
      <w:r w:rsidR="009F4EF8">
        <w:rPr>
          <w:rFonts w:hint="cs"/>
          <w:sz w:val="28"/>
          <w:szCs w:val="28"/>
          <w:rtl/>
          <w:lang w:val="en-US" w:bidi="ar-DZ"/>
        </w:rPr>
        <w:t xml:space="preserve"> يخاطب جميع دول منظومة حقوق الانسان الأممية بما فيها الجزائر وفي هذا الصدد زارت الجزائر في السنة الفارطة المقررة الأممية المعنية بالمدافعين عن حقوق الانسان</w:t>
      </w:r>
      <w:r w:rsidR="00385D80">
        <w:rPr>
          <w:rFonts w:hint="cs"/>
          <w:sz w:val="28"/>
          <w:szCs w:val="28"/>
          <w:rtl/>
          <w:lang w:val="en-US" w:bidi="ar-DZ"/>
        </w:rPr>
        <w:t xml:space="preserve"> وهي اجراء مواضيعي</w:t>
      </w:r>
    </w:p>
    <w:p w:rsidR="008738B5" w:rsidRDefault="009F4EF8" w:rsidP="007260AF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يمكن استخلاص العلاقة 1 + 9 بالنسبة لآليات حماية حقوق الانسان، اشرحها</w:t>
      </w:r>
      <w:r w:rsidR="008738B5" w:rsidRPr="00AD6033">
        <w:rPr>
          <w:rFonts w:hint="cs"/>
          <w:b/>
          <w:bCs/>
          <w:sz w:val="36"/>
          <w:szCs w:val="36"/>
          <w:rtl/>
          <w:lang w:val="en-US" w:bidi="ar-DZ"/>
        </w:rPr>
        <w:t>؟</w:t>
      </w:r>
      <w:r w:rsidR="0099492C">
        <w:rPr>
          <w:rFonts w:hint="cs"/>
          <w:b/>
          <w:bCs/>
          <w:sz w:val="36"/>
          <w:szCs w:val="36"/>
          <w:rtl/>
          <w:lang w:val="en-US" w:bidi="ar-DZ"/>
        </w:rPr>
        <w:t xml:space="preserve"> (3ن)</w:t>
      </w:r>
    </w:p>
    <w:p w:rsidR="009F4EF8" w:rsidRDefault="009F4EF8" w:rsidP="008C6F05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هذه العلاقة 1 + 9 تمثل أهم الاليات الأممية لحماية حقوق الانسان والتي يكمل بعضها البعض</w:t>
      </w:r>
    </w:p>
    <w:p w:rsidR="009F4EF8" w:rsidRDefault="009F4EF8" w:rsidP="009F4EF8">
      <w:pPr>
        <w:pStyle w:val="Paragraphedeliste"/>
        <w:numPr>
          <w:ilvl w:val="0"/>
          <w:numId w:val="10"/>
        </w:numPr>
        <w:bidi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يمثل مجلس حقوق الانسان المنشأ سنة 2006 خلفا للجنة حقوق الانسان والذي يتكون من 47 دولة ويحوز عددا من الاختصاصات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1.5 ن</w:t>
      </w:r>
    </w:p>
    <w:p w:rsidR="009F4EF8" w:rsidRPr="009F4EF8" w:rsidRDefault="009F4EF8" w:rsidP="009F4EF8">
      <w:pPr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9 يمثل لجان حقوق الانسان التسع المنبثقة عن الاتفاقيات التسع الرئيسية لحقوق الانسان حيث أنشأت كل اتفاقية لجنة كآلية لحماية حقوق الانسان وتتكون هذه اللجان من خبراء وتمارس اختصاصات وتعقد دورات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1.5 ن</w:t>
      </w:r>
    </w:p>
    <w:p w:rsidR="008C6F05" w:rsidRDefault="008C6F05" w:rsidP="008C6F05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</w:p>
    <w:p w:rsidR="009F4EF8" w:rsidRPr="008C6F05" w:rsidRDefault="009F4EF8" w:rsidP="009F4EF8">
      <w:pPr>
        <w:pStyle w:val="Paragraphedeliste"/>
        <w:bidi/>
        <w:ind w:left="141"/>
        <w:rPr>
          <w:sz w:val="28"/>
          <w:szCs w:val="28"/>
          <w:lang w:val="en-US" w:bidi="ar-DZ"/>
        </w:rPr>
      </w:pPr>
    </w:p>
    <w:p w:rsidR="008738B5" w:rsidRDefault="00B61E5B" w:rsidP="009F4EF8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lang w:val="en-US" w:bidi="ar-DZ"/>
        </w:rPr>
      </w:pPr>
      <w:r w:rsidRPr="00AD6033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9F4EF8">
        <w:rPr>
          <w:rFonts w:hint="cs"/>
          <w:b/>
          <w:bCs/>
          <w:sz w:val="36"/>
          <w:szCs w:val="36"/>
          <w:rtl/>
          <w:lang w:val="en-US" w:bidi="ar-DZ"/>
        </w:rPr>
        <w:t>شهدت الجزائ</w:t>
      </w:r>
      <w:r w:rsidR="006A04DB">
        <w:rPr>
          <w:rFonts w:hint="cs"/>
          <w:b/>
          <w:bCs/>
          <w:sz w:val="36"/>
          <w:szCs w:val="36"/>
          <w:rtl/>
          <w:lang w:val="en-US" w:bidi="ar-DZ"/>
        </w:rPr>
        <w:t>ر بتاريخ 07/11/2023 اجتماعا</w:t>
      </w:r>
      <w:r w:rsidR="009F4EF8">
        <w:rPr>
          <w:rFonts w:hint="cs"/>
          <w:b/>
          <w:bCs/>
          <w:sz w:val="36"/>
          <w:szCs w:val="36"/>
          <w:rtl/>
          <w:lang w:val="en-US" w:bidi="ar-DZ"/>
        </w:rPr>
        <w:t xml:space="preserve"> لهيئة</w:t>
      </w:r>
      <w:r w:rsidR="006A04DB">
        <w:rPr>
          <w:rFonts w:hint="cs"/>
          <w:b/>
          <w:bCs/>
          <w:sz w:val="36"/>
          <w:szCs w:val="36"/>
          <w:rtl/>
          <w:lang w:val="en-US" w:bidi="ar-DZ"/>
        </w:rPr>
        <w:t xml:space="preserve"> مهمة</w:t>
      </w:r>
      <w:r w:rsidR="009F4EF8">
        <w:rPr>
          <w:rFonts w:hint="cs"/>
          <w:b/>
          <w:bCs/>
          <w:sz w:val="36"/>
          <w:szCs w:val="36"/>
          <w:rtl/>
          <w:lang w:val="en-US" w:bidi="ar-DZ"/>
        </w:rPr>
        <w:t xml:space="preserve"> معنية بحقوق الانسان، ما هي هذه الهيئة</w:t>
      </w:r>
      <w:r w:rsidR="00EF6359" w:rsidRPr="00AD6033">
        <w:rPr>
          <w:rFonts w:hint="cs"/>
          <w:b/>
          <w:bCs/>
          <w:sz w:val="36"/>
          <w:szCs w:val="36"/>
          <w:rtl/>
          <w:lang w:val="en-US" w:bidi="ar-DZ"/>
        </w:rPr>
        <w:t>؟</w:t>
      </w:r>
      <w:r w:rsidR="0099492C">
        <w:rPr>
          <w:rFonts w:hint="cs"/>
          <w:b/>
          <w:bCs/>
          <w:sz w:val="36"/>
          <w:szCs w:val="36"/>
          <w:rtl/>
          <w:lang w:val="en-US" w:bidi="ar-DZ"/>
        </w:rPr>
        <w:t xml:space="preserve"> (</w:t>
      </w:r>
      <w:r w:rsidR="009F4EF8">
        <w:rPr>
          <w:rFonts w:hint="cs"/>
          <w:b/>
          <w:bCs/>
          <w:sz w:val="36"/>
          <w:szCs w:val="36"/>
          <w:rtl/>
          <w:lang w:val="en-US" w:bidi="ar-DZ"/>
        </w:rPr>
        <w:t>2</w:t>
      </w:r>
      <w:r w:rsidR="0099492C">
        <w:rPr>
          <w:rFonts w:hint="cs"/>
          <w:b/>
          <w:bCs/>
          <w:sz w:val="36"/>
          <w:szCs w:val="36"/>
          <w:rtl/>
          <w:lang w:val="en-US" w:bidi="ar-DZ"/>
        </w:rPr>
        <w:t>ن)</w:t>
      </w:r>
      <w:r w:rsidR="009F4EF8">
        <w:rPr>
          <w:rFonts w:hint="cs"/>
          <w:b/>
          <w:bCs/>
          <w:sz w:val="36"/>
          <w:szCs w:val="36"/>
          <w:rtl/>
          <w:lang w:val="en-US" w:bidi="ar-DZ"/>
        </w:rPr>
        <w:t>. وما اختصاصاتها؟ (2ن)</w:t>
      </w:r>
    </w:p>
    <w:p w:rsidR="009F4EF8" w:rsidRDefault="009F4EF8" w:rsidP="002B6B9E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الهيئة هي: المحكمة الافريقية لحقوق الانسان.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2 ن</w:t>
      </w:r>
    </w:p>
    <w:p w:rsidR="009F4EF8" w:rsidRDefault="009F4EF8" w:rsidP="009F4EF8">
      <w:pPr>
        <w:pStyle w:val="Paragraphedeliste"/>
        <w:bidi/>
        <w:ind w:left="141"/>
        <w:rPr>
          <w:color w:val="FF0000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اختصاصاتها: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 xml:space="preserve"> 2ن    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color w:val="FF0000"/>
          <w:sz w:val="28"/>
          <w:szCs w:val="28"/>
          <w:rtl/>
          <w:lang w:val="en-US" w:bidi="ar-DZ"/>
        </w:rPr>
        <w:t xml:space="preserve">                 </w:t>
      </w:r>
      <w:r>
        <w:rPr>
          <w:rFonts w:hint="cs"/>
          <w:sz w:val="28"/>
          <w:szCs w:val="28"/>
          <w:rtl/>
          <w:lang w:val="en-US" w:bidi="ar-DZ"/>
        </w:rPr>
        <w:t xml:space="preserve">الفصل في النزاعات المتعلقة بحقوق الانسان </w:t>
      </w:r>
      <w:r>
        <w:rPr>
          <w:sz w:val="28"/>
          <w:szCs w:val="28"/>
          <w:rtl/>
          <w:lang w:val="en-US" w:bidi="ar-DZ"/>
        </w:rPr>
        <w:t>–</w:t>
      </w:r>
      <w:r>
        <w:rPr>
          <w:rFonts w:hint="cs"/>
          <w:sz w:val="28"/>
          <w:szCs w:val="28"/>
          <w:rtl/>
          <w:lang w:val="en-US" w:bidi="ar-DZ"/>
        </w:rPr>
        <w:t xml:space="preserve"> قضائي -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 إبداء الآراء الاستشارية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التسوية الودية</w:t>
      </w:r>
    </w:p>
    <w:p w:rsidR="009F4EF8" w:rsidRDefault="009F4EF8" w:rsidP="009F4EF8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الإجراءات الاستعجالية</w:t>
      </w:r>
    </w:p>
    <w:p w:rsidR="002B6B9E" w:rsidRPr="002B6B9E" w:rsidRDefault="002B6B9E" w:rsidP="002B6B9E">
      <w:pPr>
        <w:pStyle w:val="Paragraphedeliste"/>
        <w:bidi/>
        <w:ind w:left="141"/>
        <w:rPr>
          <w:sz w:val="28"/>
          <w:szCs w:val="28"/>
          <w:lang w:val="en-US" w:bidi="ar-DZ"/>
        </w:rPr>
      </w:pPr>
    </w:p>
    <w:p w:rsidR="007D0003" w:rsidRDefault="009F4EF8" w:rsidP="007260AF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تقوم منظومة حقوق الانسان الدولية على ركيزتين، بينهما</w:t>
      </w:r>
      <w:r w:rsidR="00EF6359" w:rsidRPr="00AD6033">
        <w:rPr>
          <w:rFonts w:hint="cs"/>
          <w:b/>
          <w:bCs/>
          <w:sz w:val="36"/>
          <w:szCs w:val="36"/>
          <w:rtl/>
          <w:lang w:val="en-US" w:bidi="ar-DZ"/>
        </w:rPr>
        <w:t>؟</w:t>
      </w:r>
      <w:r w:rsidR="003371D5" w:rsidRPr="00AD6033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7102D6">
        <w:rPr>
          <w:rFonts w:hint="cs"/>
          <w:b/>
          <w:bCs/>
          <w:sz w:val="36"/>
          <w:szCs w:val="36"/>
          <w:rtl/>
          <w:lang w:val="en-US" w:bidi="ar-DZ"/>
        </w:rPr>
        <w:t>(3ن)</w:t>
      </w:r>
    </w:p>
    <w:p w:rsidR="009F4EF8" w:rsidRDefault="009F4EF8" w:rsidP="008C6F05">
      <w:pPr>
        <w:pStyle w:val="Paragraphedeliste"/>
        <w:bidi/>
        <w:ind w:left="141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فعلا تقوم منظومة حقوق الانسان على ركيزتين هما </w:t>
      </w:r>
    </w:p>
    <w:p w:rsidR="009F4EF8" w:rsidRDefault="009F4EF8" w:rsidP="009F4EF8">
      <w:pPr>
        <w:pStyle w:val="Paragraphedeliste"/>
        <w:numPr>
          <w:ilvl w:val="0"/>
          <w:numId w:val="11"/>
        </w:numPr>
        <w:bidi/>
        <w:rPr>
          <w:sz w:val="28"/>
          <w:szCs w:val="28"/>
          <w:lang w:val="en-US" w:bidi="ar-DZ"/>
        </w:rPr>
      </w:pPr>
      <w:r w:rsidRPr="006A04DB">
        <w:rPr>
          <w:rFonts w:hint="cs"/>
          <w:b/>
          <w:bCs/>
          <w:sz w:val="28"/>
          <w:szCs w:val="28"/>
          <w:rtl/>
          <w:lang w:val="en-US" w:bidi="ar-DZ"/>
        </w:rPr>
        <w:t>التقرير</w:t>
      </w:r>
      <w:r>
        <w:rPr>
          <w:rFonts w:hint="cs"/>
          <w:sz w:val="28"/>
          <w:szCs w:val="28"/>
          <w:rtl/>
          <w:lang w:val="en-US" w:bidi="ar-DZ"/>
        </w:rPr>
        <w:t xml:space="preserve"> أي النص على الحق ضمن نصوص قانونية تكون في شكل اتفاقيات ومعاهدات وصكوك دولية لحقوق الانسان ما يمثل تشريع حقوق الانسان مثل الإعلان العالمي لحقوق الانسان والعهدين الدوليين لحقوق الانسان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1.5ن</w:t>
      </w:r>
    </w:p>
    <w:p w:rsidR="009F4EF8" w:rsidRDefault="009F4EF8" w:rsidP="009F4EF8">
      <w:pPr>
        <w:pStyle w:val="Paragraphedeliste"/>
        <w:numPr>
          <w:ilvl w:val="0"/>
          <w:numId w:val="11"/>
        </w:numPr>
        <w:bidi/>
        <w:rPr>
          <w:sz w:val="28"/>
          <w:szCs w:val="28"/>
          <w:rtl/>
          <w:lang w:val="en-US" w:bidi="ar-DZ"/>
        </w:rPr>
      </w:pPr>
      <w:r w:rsidRPr="006A04DB">
        <w:rPr>
          <w:rFonts w:hint="cs"/>
          <w:b/>
          <w:bCs/>
          <w:sz w:val="28"/>
          <w:szCs w:val="28"/>
          <w:rtl/>
          <w:lang w:val="en-US" w:bidi="ar-DZ"/>
        </w:rPr>
        <w:t>الحماية</w:t>
      </w:r>
      <w:r w:rsidR="006A04DB">
        <w:rPr>
          <w:rFonts w:hint="cs"/>
          <w:sz w:val="28"/>
          <w:szCs w:val="28"/>
          <w:rtl/>
          <w:lang w:val="en-US" w:bidi="ar-DZ"/>
        </w:rPr>
        <w:t xml:space="preserve"> وهي تلك الآ</w:t>
      </w:r>
      <w:r>
        <w:rPr>
          <w:rFonts w:hint="cs"/>
          <w:sz w:val="28"/>
          <w:szCs w:val="28"/>
          <w:rtl/>
          <w:lang w:val="en-US" w:bidi="ar-DZ"/>
        </w:rPr>
        <w:t xml:space="preserve">ليات التي تعمل على تكريس الحقوق وحمايتها من أي تعد ومن صور الحماية مجلس حقوق الانسان، لجان حقوق الانسان، ومحاكم حقوق الانسان </w:t>
      </w:r>
      <w:r w:rsidRPr="009F4EF8">
        <w:rPr>
          <w:rFonts w:hint="cs"/>
          <w:color w:val="FF0000"/>
          <w:sz w:val="28"/>
          <w:szCs w:val="28"/>
          <w:rtl/>
          <w:lang w:val="en-US" w:bidi="ar-DZ"/>
        </w:rPr>
        <w:t>1.5 ن</w:t>
      </w:r>
    </w:p>
    <w:p w:rsidR="00B952D9" w:rsidRPr="00B952D9" w:rsidRDefault="000A04A8" w:rsidP="00195257">
      <w:pPr>
        <w:bidi/>
        <w:jc w:val="right"/>
        <w:rPr>
          <w:b/>
          <w:bCs/>
          <w:sz w:val="28"/>
          <w:szCs w:val="28"/>
          <w:lang w:val="en-US"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بالتوفيق  </w:t>
      </w:r>
      <w:proofErr w:type="spellStart"/>
      <w:r w:rsidR="00FC1D7A">
        <w:rPr>
          <w:rFonts w:hint="cs"/>
          <w:b/>
          <w:bCs/>
          <w:sz w:val="28"/>
          <w:szCs w:val="28"/>
          <w:rtl/>
          <w:lang w:val="en-US" w:bidi="ar-DZ"/>
        </w:rPr>
        <w:t>أ.</w:t>
      </w:r>
      <w:r w:rsidR="003B57D6">
        <w:rPr>
          <w:rFonts w:hint="cs"/>
          <w:b/>
          <w:bCs/>
          <w:sz w:val="28"/>
          <w:szCs w:val="28"/>
          <w:rtl/>
          <w:lang w:val="en-US" w:bidi="ar-DZ"/>
        </w:rPr>
        <w:t>د</w:t>
      </w:r>
      <w:proofErr w:type="spellEnd"/>
      <w:proofErr w:type="gramEnd"/>
      <w:r w:rsidR="003B57D6">
        <w:rPr>
          <w:rFonts w:hint="cs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اليازيد ع </w:t>
      </w:r>
    </w:p>
    <w:sectPr w:rsidR="00B952D9" w:rsidRPr="00B952D9" w:rsidSect="00AD6033">
      <w:pgSz w:w="11906" w:h="16838"/>
      <w:pgMar w:top="0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9E5"/>
    <w:multiLevelType w:val="hybridMultilevel"/>
    <w:tmpl w:val="AA74A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E29"/>
    <w:multiLevelType w:val="hybridMultilevel"/>
    <w:tmpl w:val="77F8D17A"/>
    <w:lvl w:ilvl="0" w:tplc="1ECAA5DE">
      <w:start w:val="1"/>
      <w:numFmt w:val="arabicAlpha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B005C1F"/>
    <w:multiLevelType w:val="hybridMultilevel"/>
    <w:tmpl w:val="AEC07C28"/>
    <w:lvl w:ilvl="0" w:tplc="1ECAA5DE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DE26D95"/>
    <w:multiLevelType w:val="hybridMultilevel"/>
    <w:tmpl w:val="8B7C8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3E00"/>
    <w:multiLevelType w:val="hybridMultilevel"/>
    <w:tmpl w:val="0E8EB0A0"/>
    <w:lvl w:ilvl="0" w:tplc="14D203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FE02AF"/>
    <w:multiLevelType w:val="hybridMultilevel"/>
    <w:tmpl w:val="5E9AC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908F2"/>
    <w:multiLevelType w:val="hybridMultilevel"/>
    <w:tmpl w:val="6F046AF6"/>
    <w:lvl w:ilvl="0" w:tplc="0CE624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B422F8"/>
    <w:multiLevelType w:val="hybridMultilevel"/>
    <w:tmpl w:val="7EC60E38"/>
    <w:lvl w:ilvl="0" w:tplc="1ECAA5DE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261F8"/>
    <w:multiLevelType w:val="hybridMultilevel"/>
    <w:tmpl w:val="031CB704"/>
    <w:lvl w:ilvl="0" w:tplc="4D32064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65A405C1"/>
    <w:multiLevelType w:val="hybridMultilevel"/>
    <w:tmpl w:val="FF748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94794"/>
    <w:multiLevelType w:val="hybridMultilevel"/>
    <w:tmpl w:val="658AB7DE"/>
    <w:lvl w:ilvl="0" w:tplc="35D45D0E">
      <w:start w:val="9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F8"/>
    <w:rsid w:val="000A04A8"/>
    <w:rsid w:val="000C0644"/>
    <w:rsid w:val="000E46B5"/>
    <w:rsid w:val="00164008"/>
    <w:rsid w:val="00195257"/>
    <w:rsid w:val="00254F77"/>
    <w:rsid w:val="0026506A"/>
    <w:rsid w:val="002B6B9E"/>
    <w:rsid w:val="003371D5"/>
    <w:rsid w:val="00365223"/>
    <w:rsid w:val="003826A1"/>
    <w:rsid w:val="00385D80"/>
    <w:rsid w:val="003B57D6"/>
    <w:rsid w:val="003D0C56"/>
    <w:rsid w:val="003F367C"/>
    <w:rsid w:val="0049729D"/>
    <w:rsid w:val="004A5B69"/>
    <w:rsid w:val="00515216"/>
    <w:rsid w:val="00520D05"/>
    <w:rsid w:val="00620860"/>
    <w:rsid w:val="00626198"/>
    <w:rsid w:val="006A04DB"/>
    <w:rsid w:val="006E04BE"/>
    <w:rsid w:val="007102D6"/>
    <w:rsid w:val="00714219"/>
    <w:rsid w:val="007260AF"/>
    <w:rsid w:val="007D0003"/>
    <w:rsid w:val="007F3DF8"/>
    <w:rsid w:val="00841707"/>
    <w:rsid w:val="008720AA"/>
    <w:rsid w:val="008738B5"/>
    <w:rsid w:val="008C6F05"/>
    <w:rsid w:val="00910B18"/>
    <w:rsid w:val="00931902"/>
    <w:rsid w:val="009513C1"/>
    <w:rsid w:val="0099492C"/>
    <w:rsid w:val="009D426D"/>
    <w:rsid w:val="009F4EF8"/>
    <w:rsid w:val="00A867D3"/>
    <w:rsid w:val="00A92E27"/>
    <w:rsid w:val="00AD6033"/>
    <w:rsid w:val="00B61E5B"/>
    <w:rsid w:val="00B952D9"/>
    <w:rsid w:val="00BB6F6E"/>
    <w:rsid w:val="00C14E3B"/>
    <w:rsid w:val="00C20716"/>
    <w:rsid w:val="00C26A8E"/>
    <w:rsid w:val="00C608F8"/>
    <w:rsid w:val="00CC6CEF"/>
    <w:rsid w:val="00CE4691"/>
    <w:rsid w:val="00CE75B3"/>
    <w:rsid w:val="00DF60AB"/>
    <w:rsid w:val="00E61AF8"/>
    <w:rsid w:val="00EA75D3"/>
    <w:rsid w:val="00EF00F2"/>
    <w:rsid w:val="00EF364F"/>
    <w:rsid w:val="00EF6359"/>
    <w:rsid w:val="00F12243"/>
    <w:rsid w:val="00F40FDD"/>
    <w:rsid w:val="00F776E5"/>
    <w:rsid w:val="00F83DBD"/>
    <w:rsid w:val="00FA034C"/>
    <w:rsid w:val="00FC1D7A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59E1-3DCE-478C-B51F-84E760D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D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toshiba</cp:lastModifiedBy>
  <cp:revision>4</cp:revision>
  <cp:lastPrinted>2023-05-22T09:45:00Z</cp:lastPrinted>
  <dcterms:created xsi:type="dcterms:W3CDTF">2024-05-20T22:55:00Z</dcterms:created>
  <dcterms:modified xsi:type="dcterms:W3CDTF">2024-05-22T21:37:00Z</dcterms:modified>
</cp:coreProperties>
</file>