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DEB" w:rsidRPr="00727BE8" w:rsidRDefault="00CB1DEB" w:rsidP="00325AD8">
      <w:pPr>
        <w:bidi/>
        <w:jc w:val="both"/>
        <w:rPr>
          <w:rFonts w:ascii="Arabic Typesetting" w:hAnsi="Arabic Typesetting" w:cs="Arabic Typesetting"/>
          <w:sz w:val="40"/>
          <w:szCs w:val="40"/>
        </w:rPr>
      </w:pPr>
    </w:p>
    <w:p w:rsidR="00571C25" w:rsidRPr="00325AD8" w:rsidRDefault="00571C25" w:rsidP="00325AD8">
      <w:pPr>
        <w:bidi/>
        <w:jc w:val="center"/>
        <w:rPr>
          <w:rFonts w:ascii="Arabic Typesetting" w:hAnsi="Arabic Typesetting" w:cs="Arabic Typesetting"/>
          <w:sz w:val="32"/>
          <w:szCs w:val="32"/>
          <w:rtl/>
          <w:lang w:bidi="ar-DZ"/>
        </w:rPr>
      </w:pPr>
      <w:r w:rsidRPr="00325AD8">
        <w:rPr>
          <w:rFonts w:ascii="Arabic Typesetting" w:hAnsi="Arabic Typesetting" w:cs="Arabic Typesetting"/>
          <w:sz w:val="32"/>
          <w:szCs w:val="32"/>
          <w:rtl/>
          <w:lang w:bidi="ar-DZ"/>
        </w:rPr>
        <w:t>وزارة التعليم العالي والبحث العلمي</w:t>
      </w:r>
    </w:p>
    <w:p w:rsidR="00571C25" w:rsidRPr="00325AD8" w:rsidRDefault="00571C25" w:rsidP="00325AD8">
      <w:pPr>
        <w:bidi/>
        <w:jc w:val="center"/>
        <w:rPr>
          <w:rFonts w:ascii="Arabic Typesetting" w:hAnsi="Arabic Typesetting" w:cs="Arabic Typesetting"/>
          <w:sz w:val="32"/>
          <w:szCs w:val="32"/>
          <w:rtl/>
          <w:lang w:bidi="ar-DZ"/>
        </w:rPr>
      </w:pPr>
      <w:r w:rsidRPr="00325AD8">
        <w:rPr>
          <w:rFonts w:ascii="Arabic Typesetting" w:hAnsi="Arabic Typesetting" w:cs="Arabic Typesetting"/>
          <w:sz w:val="32"/>
          <w:szCs w:val="32"/>
          <w:rtl/>
          <w:lang w:bidi="ar-DZ"/>
        </w:rPr>
        <w:t>جامعة العربي بن مهيدي-أم البواقي-</w:t>
      </w:r>
    </w:p>
    <w:p w:rsidR="00571C25" w:rsidRPr="00325AD8" w:rsidRDefault="00571C25" w:rsidP="00325AD8">
      <w:pPr>
        <w:bidi/>
        <w:jc w:val="center"/>
        <w:rPr>
          <w:rFonts w:ascii="Arabic Typesetting" w:hAnsi="Arabic Typesetting" w:cs="Arabic Typesetting"/>
          <w:sz w:val="32"/>
          <w:szCs w:val="32"/>
          <w:rtl/>
          <w:lang w:bidi="ar-DZ"/>
        </w:rPr>
      </w:pPr>
      <w:r w:rsidRPr="00325AD8">
        <w:rPr>
          <w:rFonts w:ascii="Arabic Typesetting" w:hAnsi="Arabic Typesetting" w:cs="Arabic Typesetting"/>
          <w:sz w:val="32"/>
          <w:szCs w:val="32"/>
          <w:rtl/>
          <w:lang w:bidi="ar-DZ"/>
        </w:rPr>
        <w:t>كلية الحقوق والعلوم السياسية-قسم الحقوق-</w:t>
      </w:r>
    </w:p>
    <w:p w:rsidR="00571C25" w:rsidRPr="00325AD8" w:rsidRDefault="00571C25" w:rsidP="00325AD8">
      <w:pPr>
        <w:bidi/>
        <w:jc w:val="center"/>
        <w:rPr>
          <w:rFonts w:ascii="Arabic Typesetting" w:hAnsi="Arabic Typesetting" w:cs="Arabic Typesetting"/>
          <w:sz w:val="32"/>
          <w:szCs w:val="32"/>
          <w:rtl/>
          <w:lang w:bidi="ar-DZ"/>
        </w:rPr>
      </w:pPr>
      <w:r w:rsidRPr="00325AD8">
        <w:rPr>
          <w:rFonts w:ascii="Arabic Typesetting" w:hAnsi="Arabic Typesetting" w:cs="Arabic Typesetting"/>
          <w:sz w:val="32"/>
          <w:szCs w:val="32"/>
          <w:rtl/>
          <w:lang w:bidi="ar-DZ"/>
        </w:rPr>
        <w:t>سنة أولى ماستر قانون جنائي وعلوم جنائية</w:t>
      </w:r>
    </w:p>
    <w:p w:rsidR="00325AD8" w:rsidRDefault="00325AD8" w:rsidP="00325AD8">
      <w:pPr>
        <w:bidi/>
        <w:jc w:val="center"/>
        <w:rPr>
          <w:rFonts w:ascii="Arabic Typesetting" w:hAnsi="Arabic Typesetting" w:cs="Arabic Typesetting"/>
          <w:sz w:val="40"/>
          <w:szCs w:val="40"/>
          <w:rtl/>
          <w:lang w:bidi="ar-DZ"/>
        </w:rPr>
      </w:pPr>
    </w:p>
    <w:p w:rsidR="00325AD8" w:rsidRPr="00325AD8" w:rsidRDefault="005F231C" w:rsidP="00325AD8">
      <w:pPr>
        <w:bidi/>
        <w:jc w:val="center"/>
        <w:rPr>
          <w:rFonts w:ascii="Traditional Arabic" w:hAnsi="Traditional Arabic" w:cs="Traditional Arabic"/>
          <w:b/>
          <w:bCs/>
          <w:sz w:val="52"/>
          <w:szCs w:val="5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52"/>
          <w:szCs w:val="52"/>
          <w:highlight w:val="lightGray"/>
          <w:rtl/>
          <w:lang w:bidi="ar-DZ"/>
        </w:rPr>
        <w:t xml:space="preserve">الإجابة النموذجية عن </w:t>
      </w:r>
      <w:bookmarkStart w:id="0" w:name="_GoBack"/>
      <w:bookmarkEnd w:id="0"/>
      <w:r w:rsidR="00C43004">
        <w:rPr>
          <w:rFonts w:ascii="Traditional Arabic" w:hAnsi="Traditional Arabic" w:cs="Traditional Arabic" w:hint="cs"/>
          <w:b/>
          <w:bCs/>
          <w:sz w:val="52"/>
          <w:szCs w:val="52"/>
          <w:highlight w:val="lightGray"/>
          <w:rtl/>
          <w:lang w:bidi="ar-DZ"/>
        </w:rPr>
        <w:t>الامتحان</w:t>
      </w:r>
      <w:r w:rsidR="00C43004">
        <w:rPr>
          <w:rFonts w:ascii="Traditional Arabic" w:hAnsi="Traditional Arabic" w:cs="Traditional Arabic"/>
          <w:b/>
          <w:bCs/>
          <w:sz w:val="52"/>
          <w:szCs w:val="52"/>
          <w:highlight w:val="lightGray"/>
          <w:rtl/>
          <w:lang w:bidi="ar-DZ"/>
        </w:rPr>
        <w:t xml:space="preserve"> النظامي</w:t>
      </w:r>
      <w:r w:rsidR="00325AD8" w:rsidRPr="00325AD8">
        <w:rPr>
          <w:rFonts w:ascii="Traditional Arabic" w:hAnsi="Traditional Arabic" w:cs="Traditional Arabic"/>
          <w:b/>
          <w:bCs/>
          <w:sz w:val="52"/>
          <w:szCs w:val="52"/>
          <w:highlight w:val="lightGray"/>
          <w:rtl/>
          <w:lang w:bidi="ar-DZ"/>
        </w:rPr>
        <w:t xml:space="preserve"> في مقياس الحماية الجنائية للبيئة</w:t>
      </w:r>
    </w:p>
    <w:p w:rsidR="004C6E16" w:rsidRPr="00727BE8" w:rsidRDefault="004C6E16" w:rsidP="00325AD8">
      <w:pPr>
        <w:bidi/>
        <w:jc w:val="both"/>
        <w:rPr>
          <w:rFonts w:ascii="Arabic Typesetting" w:hAnsi="Arabic Typesetting" w:cs="Arabic Typesetting"/>
          <w:sz w:val="40"/>
          <w:szCs w:val="40"/>
          <w:rtl/>
          <w:lang w:bidi="ar-DZ"/>
        </w:rPr>
      </w:pPr>
    </w:p>
    <w:p w:rsidR="004C6E16" w:rsidRPr="00C43004" w:rsidRDefault="00C43004" w:rsidP="00325AD8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DZ"/>
        </w:rPr>
      </w:pPr>
      <w:r w:rsidRPr="00C43004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DZ"/>
        </w:rPr>
        <w:t xml:space="preserve">السؤال </w:t>
      </w:r>
      <w:proofErr w:type="gramStart"/>
      <w:r w:rsidRPr="00C43004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DZ"/>
        </w:rPr>
        <w:t>ال</w:t>
      </w:r>
      <w:r w:rsidRPr="00C43004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  <w:lang w:bidi="ar-DZ"/>
        </w:rPr>
        <w:t>أول</w:t>
      </w:r>
      <w:r w:rsidR="00D65120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  <w:lang w:bidi="ar-DZ"/>
        </w:rPr>
        <w:t>(</w:t>
      </w:r>
      <w:proofErr w:type="gramEnd"/>
      <w:r w:rsidR="00D65120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  <w:lang w:bidi="ar-DZ"/>
        </w:rPr>
        <w:t>12 نقطة)</w:t>
      </w:r>
    </w:p>
    <w:p w:rsidR="004C6E16" w:rsidRPr="00727BE8" w:rsidRDefault="004C6E16" w:rsidP="00325AD8">
      <w:pPr>
        <w:bidi/>
        <w:jc w:val="both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727BE8">
        <w:rPr>
          <w:rFonts w:ascii="Arabic Typesetting" w:hAnsi="Arabic Typesetting" w:cs="Arabic Typesetting"/>
          <w:sz w:val="40"/>
          <w:szCs w:val="40"/>
          <w:rtl/>
          <w:lang w:bidi="ar-DZ"/>
        </w:rPr>
        <w:t>وضح بشكل قانوني دقيق ما يلي:</w:t>
      </w:r>
    </w:p>
    <w:p w:rsidR="004C6E16" w:rsidRDefault="003F38F1" w:rsidP="00325AD8">
      <w:pPr>
        <w:bidi/>
        <w:jc w:val="both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727BE8">
        <w:rPr>
          <w:rFonts w:ascii="Arabic Typesetting" w:hAnsi="Arabic Typesetting" w:cs="Arabic Typesetting"/>
          <w:sz w:val="40"/>
          <w:szCs w:val="40"/>
          <w:rtl/>
          <w:lang w:bidi="ar-DZ"/>
        </w:rPr>
        <w:t>1-ميزة التشريع الجنائي البيئي.</w:t>
      </w:r>
    </w:p>
    <w:p w:rsidR="005D3B3E" w:rsidRPr="00727BE8" w:rsidRDefault="005D3B3E" w:rsidP="005D3B3E">
      <w:pPr>
        <w:bidi/>
        <w:jc w:val="both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هي مشاركة السلطة التنفيذية(الإدارة) للسلطة التشريعية في وضع النصوص الجزائية عن طريق اليات التفويض التشريعي، اصدار نصوص جزائية على بياض، التشريع بالأوامر.</w:t>
      </w:r>
    </w:p>
    <w:p w:rsidR="003F38F1" w:rsidRDefault="003F38F1" w:rsidP="00325AD8">
      <w:pPr>
        <w:bidi/>
        <w:jc w:val="both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727BE8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2-أغلب </w:t>
      </w:r>
      <w:proofErr w:type="spellStart"/>
      <w:r w:rsidRPr="00727BE8">
        <w:rPr>
          <w:rFonts w:ascii="Arabic Typesetting" w:hAnsi="Arabic Typesetting" w:cs="Arabic Typesetting"/>
          <w:sz w:val="40"/>
          <w:szCs w:val="40"/>
          <w:rtl/>
          <w:lang w:bidi="ar-DZ"/>
        </w:rPr>
        <w:t>الجزاءات</w:t>
      </w:r>
      <w:proofErr w:type="spellEnd"/>
      <w:r w:rsidRPr="00727BE8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في الجرائم البيئية عبارة عن غرامات.</w:t>
      </w:r>
    </w:p>
    <w:p w:rsidR="00D20FFA" w:rsidRPr="00727BE8" w:rsidRDefault="00D20FFA" w:rsidP="00D20FFA">
      <w:pPr>
        <w:bidi/>
        <w:jc w:val="both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لأن الغرض من العقوبة في الجريمة البيئية هو غرض وقائي ليس ردعي.</w:t>
      </w:r>
    </w:p>
    <w:p w:rsidR="003F38F1" w:rsidRDefault="003F38F1" w:rsidP="00325AD8">
      <w:pPr>
        <w:bidi/>
        <w:jc w:val="both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727BE8">
        <w:rPr>
          <w:rFonts w:ascii="Arabic Typesetting" w:hAnsi="Arabic Typesetting" w:cs="Arabic Typesetting"/>
          <w:sz w:val="40"/>
          <w:szCs w:val="40"/>
          <w:rtl/>
          <w:lang w:bidi="ar-DZ"/>
        </w:rPr>
        <w:t>3-ندرة التكييف الجنائي في الجرائم البيئية</w:t>
      </w:r>
    </w:p>
    <w:p w:rsidR="00E21BB1" w:rsidRPr="00727BE8" w:rsidRDefault="00E21BB1" w:rsidP="00E21BB1">
      <w:pPr>
        <w:bidi/>
        <w:jc w:val="both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لترك المجال للسلطة التقديرية </w:t>
      </w:r>
      <w:proofErr w:type="gramStart"/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للقاضي(</w:t>
      </w:r>
      <w:proofErr w:type="gramEnd"/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وكيل الجمهورية تحديدا) هو من يعطي الوصف القانوني للجريمة على ضوء النصوص التنظيم</w:t>
      </w:r>
      <w:r w:rsidR="00AE4790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ي</w:t>
      </w: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ة التي تشرح المصطلحات التقنية والفنية بالنص الجزائي.</w:t>
      </w:r>
    </w:p>
    <w:p w:rsidR="003F38F1" w:rsidRDefault="003F38F1" w:rsidP="00325AD8">
      <w:pPr>
        <w:bidi/>
        <w:jc w:val="both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727BE8">
        <w:rPr>
          <w:rFonts w:ascii="Arabic Typesetting" w:hAnsi="Arabic Typesetting" w:cs="Arabic Typesetting"/>
          <w:sz w:val="40"/>
          <w:szCs w:val="40"/>
          <w:rtl/>
          <w:lang w:bidi="ar-DZ"/>
        </w:rPr>
        <w:t>4-ضعف الركن المعنوي في الجريمة البيئية</w:t>
      </w:r>
    </w:p>
    <w:p w:rsidR="00AE4790" w:rsidRPr="00727BE8" w:rsidRDefault="00AE4790" w:rsidP="00AE4790">
      <w:pPr>
        <w:bidi/>
        <w:jc w:val="both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فالقاضي عند توقيعه للعقاب في الجريمة البيئية لا يهمه ان ارتكب الجانح البيئي جريمته عن قصد أو عن غير قصد، فالعقوبة متساوية وواحدة في كلتا الحالتين</w:t>
      </w:r>
      <w:r w:rsidR="009735BB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.</w:t>
      </w:r>
    </w:p>
    <w:p w:rsidR="003F38F1" w:rsidRDefault="003F38F1" w:rsidP="00325AD8">
      <w:pPr>
        <w:bidi/>
        <w:jc w:val="both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727BE8">
        <w:rPr>
          <w:rFonts w:ascii="Arabic Typesetting" w:hAnsi="Arabic Typesetting" w:cs="Arabic Typesetting"/>
          <w:sz w:val="40"/>
          <w:szCs w:val="40"/>
          <w:rtl/>
          <w:lang w:bidi="ar-DZ"/>
        </w:rPr>
        <w:lastRenderedPageBreak/>
        <w:t>5-</w:t>
      </w:r>
      <w:r w:rsidR="00727BE8" w:rsidRPr="00727BE8">
        <w:rPr>
          <w:rFonts w:ascii="Arabic Typesetting" w:hAnsi="Arabic Typesetting" w:cs="Arabic Typesetting"/>
          <w:sz w:val="40"/>
          <w:szCs w:val="40"/>
          <w:rtl/>
          <w:lang w:bidi="ar-DZ"/>
        </w:rPr>
        <w:t>معظم</w:t>
      </w:r>
      <w:r w:rsidRPr="00727BE8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الجرائم البيئية ذات نتيجة شكلية.</w:t>
      </w:r>
    </w:p>
    <w:p w:rsidR="009735BB" w:rsidRPr="00727BE8" w:rsidRDefault="009735BB" w:rsidP="009735BB">
      <w:pPr>
        <w:bidi/>
        <w:jc w:val="both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لأن معظمها تقوم على مجرد عدم الحصول على ترخيص او عدم الإبلاغ او عدم التصريح يعني لا يشترط تحقق النتيجة فيكفي وقوع السلوك الاجرامي كسبب لتحميل الجانح المسؤولية الجزائية.</w:t>
      </w:r>
    </w:p>
    <w:p w:rsidR="00727BE8" w:rsidRDefault="00727BE8" w:rsidP="00325AD8">
      <w:pPr>
        <w:bidi/>
        <w:jc w:val="both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727BE8">
        <w:rPr>
          <w:rFonts w:ascii="Arabic Typesetting" w:hAnsi="Arabic Typesetting" w:cs="Arabic Typesetting"/>
          <w:sz w:val="40"/>
          <w:szCs w:val="40"/>
          <w:rtl/>
          <w:lang w:bidi="ar-DZ"/>
        </w:rPr>
        <w:t>6-المساس بقاعدة الفصل بين السلطات في النص الجزائي البيئي.</w:t>
      </w:r>
    </w:p>
    <w:p w:rsidR="00C37BF5" w:rsidRPr="00727BE8" w:rsidRDefault="00C37BF5" w:rsidP="00C37BF5">
      <w:pPr>
        <w:bidi/>
        <w:jc w:val="both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وذلك بسبب مشاركة السلطة التنفيذية للسلطة التشريعية في سن النصوص الجزائية البيئية عن طريق الاليات الثلاث، فضلا عن اتساع مجال التفسير بالنسبة للقاضي الجزائي.</w:t>
      </w:r>
    </w:p>
    <w:p w:rsidR="00727BE8" w:rsidRPr="00D65120" w:rsidRDefault="00727BE8" w:rsidP="00325AD8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DZ"/>
        </w:rPr>
      </w:pPr>
      <w:r w:rsidRPr="00D65120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DZ"/>
        </w:rPr>
        <w:t xml:space="preserve">السؤال </w:t>
      </w:r>
      <w:proofErr w:type="gramStart"/>
      <w:r w:rsidRPr="00D65120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DZ"/>
        </w:rPr>
        <w:t>الثاني</w:t>
      </w:r>
      <w:r w:rsidR="00D65120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  <w:lang w:bidi="ar-DZ"/>
        </w:rPr>
        <w:t>(</w:t>
      </w:r>
      <w:proofErr w:type="gramEnd"/>
      <w:r w:rsidR="00D65120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  <w:lang w:bidi="ar-DZ"/>
        </w:rPr>
        <w:t>08 نقاط)</w:t>
      </w:r>
    </w:p>
    <w:p w:rsidR="006A2568" w:rsidRPr="00325AD8" w:rsidRDefault="006A2568" w:rsidP="00325AD8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تنص المادة 100 من القانون 03-10 المتعلق بحماية البيئة في </w:t>
      </w:r>
      <w:proofErr w:type="gramStart"/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اطار</w:t>
      </w:r>
      <w:proofErr w:type="gramEnd"/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التنمية المستدامة ما يلي:</w:t>
      </w:r>
      <w:r w:rsidR="00DF496C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"</w:t>
      </w:r>
      <w:r w:rsidR="00DF496C" w:rsidRPr="00325AD8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DZ"/>
        </w:rPr>
        <w:t>يعاقب بالحبس لمدة سنتين وبغرامة قدرها خمسمائة الف دينار، كل من رمى أو افرغ أو ترك تسربا في المياه السطحية أو الجوفية، أو في مياه البحر</w:t>
      </w:r>
      <w:r w:rsidR="005A1923" w:rsidRPr="00325AD8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DZ"/>
        </w:rPr>
        <w:t xml:space="preserve"> الخاضعة للقضاء الجزائري، بصفة مباشرة أو غير مباشرة لمادة أو مواد يتسبب مفعولها أو تفاعلها في الاضرار ولو مؤقتا بصحة الانسان او النبات او الحيوان، أو يؤدي الى تقليص</w:t>
      </w:r>
      <w:r w:rsidR="00114D35" w:rsidRPr="00325AD8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DZ"/>
        </w:rPr>
        <w:t xml:space="preserve"> استعمال مناطق السياحة.</w:t>
      </w:r>
    </w:p>
    <w:p w:rsidR="00114D35" w:rsidRPr="00325AD8" w:rsidRDefault="00114D35" w:rsidP="00325AD8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 w:rsidRPr="00325AD8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DZ"/>
        </w:rPr>
        <w:t xml:space="preserve">عندما تكون عملية الصب مسموحا بها بقرار، لا تطبق أحكام هذه الفقرة الا </w:t>
      </w:r>
      <w:proofErr w:type="gramStart"/>
      <w:r w:rsidRPr="00325AD8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DZ"/>
        </w:rPr>
        <w:t>اذا</w:t>
      </w:r>
      <w:proofErr w:type="gramEnd"/>
      <w:r w:rsidRPr="00325AD8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DZ"/>
        </w:rPr>
        <w:t xml:space="preserve"> لم تحترم مقتضيات هذا القرار</w:t>
      </w:r>
      <w:r w:rsidR="00A02A70" w:rsidRPr="00325AD8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DZ"/>
        </w:rPr>
        <w:t>.</w:t>
      </w:r>
    </w:p>
    <w:p w:rsidR="00325AD8" w:rsidRPr="00325AD8" w:rsidRDefault="00A02A70" w:rsidP="00325AD8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 w:rsidRPr="00325AD8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DZ"/>
        </w:rPr>
        <w:t>يمكن للمحكمة كذلك ان تفرض على المحكوم عليه اصلاح الوسط المائي</w:t>
      </w:r>
      <w:r w:rsidR="00325AD8" w:rsidRPr="00325AD8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DZ"/>
        </w:rPr>
        <w:t>".</w:t>
      </w:r>
    </w:p>
    <w:p w:rsidR="00325AD8" w:rsidRPr="00D65120" w:rsidRDefault="00325AD8" w:rsidP="00325AD8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DZ"/>
        </w:rPr>
      </w:pPr>
      <w:r w:rsidRPr="00D65120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  <w:lang w:bidi="ar-DZ"/>
        </w:rPr>
        <w:t>المطلوب:</w:t>
      </w:r>
    </w:p>
    <w:p w:rsidR="00325AD8" w:rsidRDefault="00325AD8" w:rsidP="00325AD8">
      <w:pPr>
        <w:bidi/>
        <w:jc w:val="both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1-</w:t>
      </w:r>
      <w:r w:rsidR="00D65120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اعط تكييفا قانونيا للجريمة المشار اليها في المادة أعلاه.</w:t>
      </w:r>
    </w:p>
    <w:p w:rsidR="00623112" w:rsidRDefault="00623112" w:rsidP="00623112">
      <w:pPr>
        <w:bidi/>
        <w:jc w:val="both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جنحة تلويث المياه</w:t>
      </w:r>
    </w:p>
    <w:p w:rsidR="00D65120" w:rsidRDefault="00D65120" w:rsidP="00D65120">
      <w:pPr>
        <w:bidi/>
        <w:jc w:val="both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2-حدد عناصر الركن المادي للجريمة الواردة بالمادة 100 ق03-10، مع الشرح</w:t>
      </w:r>
    </w:p>
    <w:p w:rsidR="00321B05" w:rsidRDefault="00623112" w:rsidP="00623112">
      <w:pPr>
        <w:bidi/>
        <w:jc w:val="both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عناصر الركن المادي:</w:t>
      </w:r>
    </w:p>
    <w:p w:rsidR="00276158" w:rsidRPr="00276158" w:rsidRDefault="00276158" w:rsidP="00276158">
      <w:pPr>
        <w:bidi/>
        <w:jc w:val="both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-محل الجريمة: البيئة بشكل عام، </w:t>
      </w:r>
      <w:r w:rsidRPr="00276158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و</w:t>
      </w:r>
      <w:r w:rsidRPr="00276158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المياه السطحية أو الجوفية، أو في مياه البحر الخاضعة للقضاء الجزائري</w:t>
      </w:r>
      <w:r w:rsidRPr="00276158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بشكل خاص</w:t>
      </w:r>
    </w:p>
    <w:p w:rsidR="00623112" w:rsidRDefault="00321B05" w:rsidP="00321B05">
      <w:pPr>
        <w:bidi/>
        <w:jc w:val="both"/>
        <w:rPr>
          <w:rFonts w:ascii="Arabic Typesetting" w:hAnsi="Arabic Typesetting" w:cs="Arabic Typesetting" w:hint="cs"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نوع السلوك الاجرامي: سلوك إيجابي.</w:t>
      </w:r>
    </w:p>
    <w:p w:rsidR="00321B05" w:rsidRDefault="00321B05" w:rsidP="00321B05">
      <w:pPr>
        <w:bidi/>
        <w:jc w:val="both"/>
        <w:rPr>
          <w:rFonts w:ascii="Arabic Typesetting" w:hAnsi="Arabic Typesetting" w:cs="Arabic Typesetting" w:hint="cs"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lastRenderedPageBreak/>
        <w:t xml:space="preserve">-صور السلوك </w:t>
      </w:r>
      <w:proofErr w:type="gramStart"/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الاجرامي: 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DZ"/>
        </w:rPr>
        <w:t xml:space="preserve"> رمي</w:t>
      </w:r>
      <w:proofErr w:type="gramEnd"/>
      <w:r w:rsidRPr="00325AD8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DZ"/>
        </w:rPr>
        <w:t xml:space="preserve"> أو افر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DZ"/>
        </w:rPr>
        <w:t>ا</w:t>
      </w:r>
      <w:r w:rsidRPr="00325AD8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DZ"/>
        </w:rPr>
        <w:t>غ أو ترك تسربا في المياه</w:t>
      </w:r>
    </w:p>
    <w:p w:rsidR="00276158" w:rsidRPr="00974BFC" w:rsidRDefault="00276158" w:rsidP="00276158">
      <w:pPr>
        <w:bidi/>
        <w:jc w:val="both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-الوسيلة المستعملة: </w:t>
      </w:r>
      <w:r w:rsidR="00974BFC" w:rsidRPr="00974BFC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م</w:t>
      </w:r>
      <w:r w:rsidRPr="00974BFC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ادة أو مواد يتسبب مفعولها أو تفاعلها في الاضرار ولو مؤقتا بصحة الانسان او النبات او الحيوان، أو يؤدي الى تقليص استعمال مناطق السياحة.</w:t>
      </w:r>
    </w:p>
    <w:p w:rsidR="00974BFC" w:rsidRDefault="00974BFC" w:rsidP="00974BFC">
      <w:pPr>
        <w:bidi/>
        <w:jc w:val="both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974BFC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-النتيجة: موضوعية ضارة تتمثل </w:t>
      </w:r>
      <w:r w:rsidRPr="00974BFC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في الاضرار ولو مؤقتا بصحة الانسان او النبات او الحيوان، أو يؤدي الى تقليص استعمال مناطق السياحة.</w:t>
      </w:r>
    </w:p>
    <w:p w:rsidR="00623112" w:rsidRDefault="00974BFC" w:rsidP="001E5C85">
      <w:pPr>
        <w:bidi/>
        <w:jc w:val="both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-علاقة السببية: يجب توافر علاقة السببية بين فعل الرمي او الترك او الافراغ والنتيجة الضارة المحققة.</w:t>
      </w:r>
    </w:p>
    <w:p w:rsidR="00D65120" w:rsidRDefault="00D65120" w:rsidP="00D65120">
      <w:pPr>
        <w:bidi/>
        <w:jc w:val="both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3-متى يباح الفعل الاجرامي المشار اليه في المادة أعلاه؟</w:t>
      </w:r>
    </w:p>
    <w:p w:rsidR="001E5C85" w:rsidRPr="001E5C85" w:rsidRDefault="001E5C85" w:rsidP="001E5C85">
      <w:pPr>
        <w:bidi/>
        <w:jc w:val="both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كسبب اباحة؛ </w:t>
      </w:r>
      <w:r w:rsidRPr="001E5C85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عندما تكون عملية الصب مسموحا بها بقرار، لا تطبق أحكام هذه الفقرة الا </w:t>
      </w:r>
      <w:proofErr w:type="gramStart"/>
      <w:r w:rsidRPr="001E5C85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اذا</w:t>
      </w:r>
      <w:proofErr w:type="gramEnd"/>
      <w:r w:rsidRPr="001E5C85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لم تحترم مقتضيات هذا القرار.</w:t>
      </w:r>
    </w:p>
    <w:p w:rsidR="001E5C85" w:rsidRPr="00727BE8" w:rsidRDefault="001E5C85" w:rsidP="001E5C85">
      <w:pPr>
        <w:bidi/>
        <w:jc w:val="both"/>
        <w:rPr>
          <w:rFonts w:ascii="Arabic Typesetting" w:hAnsi="Arabic Typesetting" w:cs="Arabic Typesetting"/>
          <w:sz w:val="40"/>
          <w:szCs w:val="40"/>
          <w:rtl/>
          <w:lang w:bidi="ar-DZ"/>
        </w:rPr>
      </w:pPr>
    </w:p>
    <w:p w:rsidR="00727BE8" w:rsidRDefault="00727BE8" w:rsidP="00325AD8">
      <w:pPr>
        <w:bidi/>
        <w:jc w:val="both"/>
        <w:rPr>
          <w:rFonts w:ascii="Arabic Typesetting" w:hAnsi="Arabic Typesetting" w:cs="Arabic Typesetting"/>
          <w:sz w:val="40"/>
          <w:szCs w:val="40"/>
          <w:rtl/>
          <w:lang w:bidi="ar-DZ"/>
        </w:rPr>
      </w:pPr>
    </w:p>
    <w:p w:rsidR="00D65120" w:rsidRDefault="00D65120" w:rsidP="00D65120">
      <w:pPr>
        <w:bidi/>
        <w:jc w:val="both"/>
        <w:rPr>
          <w:rFonts w:ascii="Arabic Typesetting" w:hAnsi="Arabic Typesetting" w:cs="Arabic Typesetting"/>
          <w:sz w:val="40"/>
          <w:szCs w:val="40"/>
          <w:rtl/>
          <w:lang w:bidi="ar-DZ"/>
        </w:rPr>
      </w:pPr>
    </w:p>
    <w:p w:rsidR="00D65120" w:rsidRPr="00727BE8" w:rsidRDefault="00D65120" w:rsidP="00D65120">
      <w:pPr>
        <w:bidi/>
        <w:jc w:val="both"/>
        <w:rPr>
          <w:rFonts w:ascii="Arabic Typesetting" w:hAnsi="Arabic Typesetting" w:cs="Arabic Typesetting"/>
          <w:sz w:val="40"/>
          <w:szCs w:val="40"/>
          <w:rtl/>
          <w:lang w:bidi="ar-DZ"/>
        </w:rPr>
      </w:pPr>
    </w:p>
    <w:p w:rsidR="00D65120" w:rsidRPr="00727BE8" w:rsidRDefault="00D65120" w:rsidP="00D65120">
      <w:pPr>
        <w:bidi/>
        <w:jc w:val="right"/>
        <w:rPr>
          <w:rFonts w:ascii="Arabic Typesetting" w:hAnsi="Arabic Typesetting" w:cs="Arabic Typesetting"/>
          <w:sz w:val="40"/>
          <w:szCs w:val="40"/>
          <w:rtl/>
          <w:lang w:bidi="ar-DZ"/>
        </w:rPr>
      </w:pPr>
    </w:p>
    <w:sectPr w:rsidR="00D65120" w:rsidRPr="00727BE8" w:rsidSect="00571C25">
      <w:pgSz w:w="11907" w:h="16839" w:code="9"/>
      <w:pgMar w:top="1440" w:right="1797" w:bottom="1440" w:left="1797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25"/>
    <w:rsid w:val="00114D35"/>
    <w:rsid w:val="001E5C85"/>
    <w:rsid w:val="00276158"/>
    <w:rsid w:val="00321B05"/>
    <w:rsid w:val="00325AD8"/>
    <w:rsid w:val="003F38F1"/>
    <w:rsid w:val="004C6E16"/>
    <w:rsid w:val="00571C25"/>
    <w:rsid w:val="005A1923"/>
    <w:rsid w:val="005D3B3E"/>
    <w:rsid w:val="005F231C"/>
    <w:rsid w:val="00623112"/>
    <w:rsid w:val="006A2568"/>
    <w:rsid w:val="00727BE8"/>
    <w:rsid w:val="009735BB"/>
    <w:rsid w:val="00974BFC"/>
    <w:rsid w:val="009B6D75"/>
    <w:rsid w:val="00A02A70"/>
    <w:rsid w:val="00AE4790"/>
    <w:rsid w:val="00C37BF5"/>
    <w:rsid w:val="00C43004"/>
    <w:rsid w:val="00CB1DEB"/>
    <w:rsid w:val="00D20FFA"/>
    <w:rsid w:val="00D65120"/>
    <w:rsid w:val="00DF496C"/>
    <w:rsid w:val="00E2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048C1-8DA8-4FED-96B9-5D45199A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450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</dc:creator>
  <cp:keywords/>
  <dc:description/>
  <cp:lastModifiedBy>CSA</cp:lastModifiedBy>
  <cp:revision>24</cp:revision>
  <dcterms:created xsi:type="dcterms:W3CDTF">2024-05-21T00:54:00Z</dcterms:created>
  <dcterms:modified xsi:type="dcterms:W3CDTF">2024-05-23T10:25:00Z</dcterms:modified>
</cp:coreProperties>
</file>