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23" w:rsidRPr="007A2223" w:rsidRDefault="007A2223" w:rsidP="007A2223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i/>
          <w:iCs/>
          <w:color w:val="FF0000"/>
          <w:sz w:val="32"/>
          <w:szCs w:val="32"/>
          <w:u w:val="single"/>
          <w:lang w:bidi="ar-DZ"/>
        </w:rPr>
      </w:pPr>
      <w:bookmarkStart w:id="0" w:name="_GoBack"/>
      <w:bookmarkEnd w:id="0"/>
      <w:r w:rsidRPr="007A2223">
        <w:rPr>
          <w:rFonts w:ascii="Sakkal Majalla" w:eastAsia="Calibri" w:hAnsi="Sakkal Majalla" w:cs="Sakkal Majalla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التصحيح النموذجي للمراقبة الكتابية </w:t>
      </w:r>
      <w:proofErr w:type="gramStart"/>
      <w:r w:rsidRPr="007A2223">
        <w:rPr>
          <w:rFonts w:ascii="Sakkal Majalla" w:eastAsia="Calibri" w:hAnsi="Sakkal Majalla" w:cs="Sakkal Majalla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>الثانية  في</w:t>
      </w:r>
      <w:proofErr w:type="gramEnd"/>
      <w:r w:rsidRPr="007A2223">
        <w:rPr>
          <w:rFonts w:ascii="Sakkal Majalla" w:eastAsia="Calibri" w:hAnsi="Sakkal Majalla" w:cs="Sakkal Majalla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 xml:space="preserve"> مقياس القانون الدستوري(النظم السياسية) السداسي الثاني المجموعة الأولى بتاريخ  (  16 /05/2024)</w:t>
      </w:r>
    </w:p>
    <w:p w:rsidR="007A2223" w:rsidRPr="007A2223" w:rsidRDefault="007A2223" w:rsidP="007A2223">
      <w:pPr>
        <w:bidi/>
        <w:spacing w:after="0" w:line="240" w:lineRule="auto"/>
        <w:rPr>
          <w:rFonts w:ascii="Sakkal Majalla" w:eastAsia="Calibri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  <w:t>*</w:t>
      </w:r>
      <w:r w:rsidRPr="007A2223">
        <w:rPr>
          <w:rFonts w:ascii="Sakkal Majalla" w:eastAsia="Calibri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 xml:space="preserve">***الجواب </w:t>
      </w:r>
      <w:proofErr w:type="gramStart"/>
      <w:r w:rsidRPr="007A2223">
        <w:rPr>
          <w:rFonts w:ascii="Sakkal Majalla" w:eastAsia="Calibri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الأول :</w:t>
      </w:r>
      <w:proofErr w:type="gramEnd"/>
      <w:r w:rsidRPr="007A2223">
        <w:rPr>
          <w:rFonts w:ascii="Sakkal Majalla" w:eastAsia="Calibri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(10ن</w:t>
      </w:r>
      <w:r w:rsidRPr="007A2223">
        <w:rPr>
          <w:rFonts w:ascii="Sakkal Majalla" w:eastAsia="Calibri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  <w:t>)</w:t>
      </w:r>
    </w:p>
    <w:p w:rsidR="007A2223" w:rsidRPr="007A2223" w:rsidRDefault="007A2223" w:rsidP="007A2223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أوردت المحكمة الدستورية </w:t>
      </w:r>
      <w:proofErr w:type="spellStart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فيي</w:t>
      </w:r>
      <w:proofErr w:type="spellEnd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قرارها رقم01 المؤرخ في 16/01/ 2024 تفسيرا لعبارتي التنظيمات والحكم التنظيمي بقولها:</w:t>
      </w:r>
    </w:p>
    <w:p w:rsidR="007A2223" w:rsidRPr="007A2223" w:rsidRDefault="007A2223" w:rsidP="007A2223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ADMacGeezaSGG-Bold" w:eastAsia="Times New Roman" w:hAnsi="ADMacGeezaSGG-Bold" w:cs="Times New Roman"/>
          <w:b/>
          <w:bCs/>
          <w:color w:val="231F20"/>
          <w:sz w:val="20"/>
          <w:rtl/>
          <w:lang w:eastAsia="fr-FR"/>
        </w:rPr>
        <w:t xml:space="preserve">     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 xml:space="preserve"> 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يقصــد بعبارة 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“</w:t>
      </w:r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rtl/>
          <w:lang w:bidi="ar-DZ"/>
        </w:rPr>
        <w:t>التنظيمات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 xml:space="preserve">“ 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الواردة في نص المادة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 xml:space="preserve"> 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190/3 من الدستور، </w:t>
      </w:r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النصوص التنظيمية المستقلة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الصـادرة عـن رئيـس الجمهوريـة  في إطــار ممارستــه للسلطة التنظيمية    في المسائل غير المخصصة للقانون وفقا لأحكام المادة 141الفقرة الأولى من الدستور، وهي وحدها الخاضعة </w:t>
      </w:r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للرقابة الدستورية والدفع بعدم </w:t>
      </w:r>
      <w:proofErr w:type="spellStart"/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الدستورية،زيــادة</w:t>
      </w:r>
      <w:proofErr w:type="spellEnd"/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 على رقــابة المشروعيــة التــي يمارسهــا القضاء الإداري في حالات أخرى</w:t>
      </w:r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rtl/>
          <w:lang w:bidi="ar-DZ"/>
        </w:rPr>
        <w:t>،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بينما عبارة 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“</w:t>
      </w:r>
      <w:r w:rsidRPr="00841854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الحكم التنظيمي</w:t>
      </w:r>
      <w:r w:rsidRPr="00841854">
        <w:rPr>
          <w:rFonts w:ascii="Sakkal Majalla" w:eastAsia="Calibri" w:hAnsi="Sakkal Majalla" w:cs="Sakkal Majalla"/>
          <w:b/>
          <w:bCs/>
          <w:sz w:val="28"/>
          <w:szCs w:val="28"/>
          <w:u w:val="single"/>
          <w:lang w:bidi="ar-DZ"/>
        </w:rPr>
        <w:t>“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 xml:space="preserve"> 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الواردة في نص المادة195/1   </w:t>
      </w:r>
      <w:r w:rsidRPr="000A402C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المراسيم التنفيذية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التي يختص به الوزير الأول أو رئيس الحكومة  حسب الحالة، </w:t>
      </w:r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rtl/>
          <w:lang w:bidi="ar-DZ"/>
        </w:rPr>
        <w:t xml:space="preserve">وهذه </w:t>
      </w:r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الأحكـام التنظيميـة التنفيذية  لا تخضع سوى لرقابة القضاء الإداري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  <w:t>.</w:t>
      </w:r>
    </w:p>
    <w:p w:rsidR="007A2223" w:rsidRPr="007A2223" w:rsidRDefault="007A2223" w:rsidP="007A2223">
      <w:pPr>
        <w:bidi/>
        <w:spacing w:after="0" w:line="240" w:lineRule="auto"/>
        <w:rPr>
          <w:rFonts w:ascii="Sakkal Majalla" w:eastAsia="Calibri" w:hAnsi="Sakkal Majalla" w:cs="Sakkal Majalla"/>
          <w:b/>
          <w:bCs/>
          <w:i/>
          <w:iCs/>
          <w:color w:val="FF0000"/>
          <w:sz w:val="36"/>
          <w:szCs w:val="36"/>
          <w:u w:val="single"/>
          <w:lang w:bidi="ar-DZ"/>
        </w:rPr>
      </w:pPr>
      <w:proofErr w:type="gramStart"/>
      <w:r w:rsidRPr="007A2223">
        <w:rPr>
          <w:rFonts w:ascii="Sakkal Majalla" w:eastAsia="Calibri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>الجواب</w:t>
      </w:r>
      <w:proofErr w:type="gramEnd"/>
      <w:r w:rsidRPr="007A2223">
        <w:rPr>
          <w:rFonts w:ascii="Sakkal Majalla" w:eastAsia="Calibri" w:hAnsi="Sakkal Majalla" w:cs="Sakkal Majalla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  <w:t xml:space="preserve"> الثاني:(10ن) </w:t>
      </w:r>
    </w:p>
    <w:p w:rsidR="007A2223" w:rsidRPr="007A2223" w:rsidRDefault="007A2223" w:rsidP="007A2223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1-اسم </w:t>
      </w:r>
      <w:proofErr w:type="gramStart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هذه</w:t>
      </w:r>
      <w:proofErr w:type="gramEnd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الآلية:   التشريع بأوامر</w:t>
      </w:r>
    </w:p>
    <w:p w:rsidR="007A2223" w:rsidRPr="007A2223" w:rsidRDefault="007A2223" w:rsidP="007A2223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2–سندها الدستوري:    المادة142 من التعديل الدستوري </w:t>
      </w:r>
      <w:proofErr w:type="gramStart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لعام</w:t>
      </w:r>
      <w:proofErr w:type="gramEnd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2020</w:t>
      </w:r>
    </w:p>
    <w:p w:rsidR="007A2223" w:rsidRPr="007A2223" w:rsidRDefault="007A2223" w:rsidP="007A2223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3-حالاتها: </w:t>
      </w:r>
      <w:proofErr w:type="gramStart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وفقا</w:t>
      </w:r>
      <w:proofErr w:type="gramEnd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للمادة المذكورة والمواد ذات الصلة فإنه يمكن بلورتها فيما يلي:</w:t>
      </w:r>
    </w:p>
    <w:p w:rsidR="007A2223" w:rsidRPr="007A2223" w:rsidRDefault="007A2223" w:rsidP="007A2223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أولا:   الحالة الأولى في حالة غياب البرلمان:</w:t>
      </w:r>
    </w:p>
    <w:p w:rsidR="007A2223" w:rsidRPr="007A2223" w:rsidRDefault="007A2223" w:rsidP="007A2223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-**</w:t>
      </w:r>
      <w:proofErr w:type="gramStart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ضرورة</w:t>
      </w:r>
      <w:proofErr w:type="gramEnd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وجود </w:t>
      </w:r>
      <w:r w:rsidRPr="00D67DF5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  <w:t>المسائل العاجلة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المبررة لتدخل رئيس الجمهورية-رغم أنه أمر منتقد كونه خاضع للسلطة التقديرية له.</w:t>
      </w:r>
    </w:p>
    <w:p w:rsidR="007A2223" w:rsidRPr="007A2223" w:rsidRDefault="007A2223" w:rsidP="007A2223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-**-في حالة شغور المجلس الشعبي الوطني لا سيما بحله  مثلا من قبل الرئيس(المادة151 تعديل دستوري 2020).</w:t>
      </w:r>
    </w:p>
    <w:p w:rsidR="007A2223" w:rsidRPr="007A2223" w:rsidRDefault="007A2223" w:rsidP="007E1E48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-**- في حالة تواجد البرلمان في عطلة برلمانية (المادة138 من التعديل الدستوري2020)</w:t>
      </w:r>
      <w:proofErr w:type="gramStart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،مع</w:t>
      </w:r>
      <w:proofErr w:type="gramEnd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لزوم استشارة مجلس الدولة ،واتخاذها في نطاق مجلس الوزراء (المادة143).</w:t>
      </w:r>
    </w:p>
    <w:p w:rsidR="007A2223" w:rsidRPr="007A2223" w:rsidRDefault="007A2223" w:rsidP="007E1E48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-**-</w:t>
      </w:r>
      <w:proofErr w:type="gramStart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وجوب</w:t>
      </w:r>
      <w:proofErr w:type="gramEnd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إخطار المحكمة الدستورية من قبل رئيس الجمهورية للفصل فيها في اجل أقصاه عشرة(10) أيام وجوبا(المادة198/3 من التعديل الدستوري لعام2020)</w:t>
      </w:r>
    </w:p>
    <w:p w:rsidR="007A2223" w:rsidRPr="007A2223" w:rsidRDefault="007A2223" w:rsidP="007E1E48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-**-ضرورة عرضها على البرلمان للموافقة </w:t>
      </w:r>
      <w:proofErr w:type="gramStart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عليها ،</w:t>
      </w:r>
      <w:proofErr w:type="gramEnd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وتعتبر لاغية في حالة عدم حصول ذلك.</w:t>
      </w:r>
    </w:p>
    <w:p w:rsidR="007A2223" w:rsidRPr="007A2223" w:rsidRDefault="007A2223" w:rsidP="007A2223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- </w:t>
      </w:r>
      <w:proofErr w:type="spellStart"/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ثانيا:الحالة</w:t>
      </w:r>
      <w:proofErr w:type="spellEnd"/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 الأولى في حالة وجود البرلمان:</w:t>
      </w:r>
    </w:p>
    <w:p w:rsidR="007A2223" w:rsidRPr="007A2223" w:rsidRDefault="007A2223" w:rsidP="00757679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-**-في الحالة الاستثنائية(المادة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98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من التعديل الدستوري لعام2020) وقرار </w:t>
      </w:r>
      <w:proofErr w:type="gramStart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إعلانها  يعد</w:t>
      </w:r>
      <w:proofErr w:type="gramEnd"/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من أعمال السيادة.</w:t>
      </w:r>
    </w:p>
    <w:p w:rsidR="007A2223" w:rsidRPr="007A2223" w:rsidRDefault="007A2223" w:rsidP="00757679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-**-في حالة عدم المصادقة على قانون المالية في أجل أقصاه خمسة وسبعون (75 )يوما(المادة146 من التعديل الدستوي2020). ويلاحظ أن الدستور الوحيد الذي لم ينص عليها هو دستور1989،وسماها دستور1963 الأوامر التفويضية(المادة58 منه).    </w:t>
      </w:r>
    </w:p>
    <w:p w:rsidR="007A2223" w:rsidRPr="007A2223" w:rsidRDefault="007A2223" w:rsidP="007A2223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4- </w:t>
      </w:r>
      <w:r w:rsidRPr="007A2223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طبيعتها القانونية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:   باختصار تعد قرارات إدارية صادرة عن سلطة مركزية-رئيس الجمهورية- قبل  عرضها </w:t>
      </w:r>
      <w:r w:rsidR="00F0136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 لا    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على البرلمان للموافقة عليها</w:t>
      </w:r>
      <w:r w:rsidR="00F0136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 خاضعة لرقابة القضاء الاداري</w:t>
      </w:r>
      <w:r w:rsidR="00F0136B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،وتعد ق</w:t>
      </w:r>
      <w:r w:rsidR="00F0136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انينا بعد إقرارها بالموافقة عليها، والملاحظ</w:t>
      </w:r>
      <w:r w:rsidR="004C1489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أن المادة142 تبدأ بلفظ "</w:t>
      </w:r>
      <w:r w:rsidR="00E6384A" w:rsidRPr="007A2223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  <w:lang w:bidi="ar-DZ"/>
        </w:rPr>
        <w:t>يشرع</w:t>
      </w:r>
      <w:r w:rsidR="00E6384A" w:rsidRPr="007A222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 «،كم</w:t>
      </w:r>
      <w:r w:rsidR="00E6384A" w:rsidRPr="007A2223">
        <w:rPr>
          <w:rFonts w:ascii="Sakkal Majalla" w:eastAsia="Calibri" w:hAnsi="Sakkal Majalla" w:cs="Sakkal Majalla" w:hint="eastAsia"/>
          <w:b/>
          <w:bCs/>
          <w:sz w:val="28"/>
          <w:szCs w:val="28"/>
          <w:rtl/>
          <w:lang w:bidi="ar-DZ"/>
        </w:rPr>
        <w:t>ا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أنها واقعة تحت الفصل الثالث الموسوم بالبرلمان مما يدل أن لها قوة التشريع الفعلية</w:t>
      </w:r>
      <w:r w:rsidR="002C2BB7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 ومداه</w:t>
      </w:r>
      <w:r w:rsidRPr="007A2223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302B26" w:rsidRPr="00302B26" w:rsidRDefault="00302B26" w:rsidP="00302B26">
      <w:pPr>
        <w:bidi/>
        <w:spacing w:after="0" w:line="240" w:lineRule="auto"/>
        <w:jc w:val="right"/>
        <w:rPr>
          <w:rFonts w:ascii="Sakkal Majalla" w:eastAsia="Calibri" w:hAnsi="Sakkal Majalla" w:cs="Sakkal Majalla"/>
          <w:b/>
          <w:bCs/>
          <w:i/>
          <w:iCs/>
          <w:sz w:val="28"/>
          <w:szCs w:val="28"/>
          <w:u w:val="single"/>
          <w:rtl/>
        </w:rPr>
      </w:pPr>
      <w:r w:rsidRPr="00302B26">
        <w:rPr>
          <w:rFonts w:ascii="Sakkal Majalla" w:eastAsia="Calibri" w:hAnsi="Sakkal Majalla" w:cs="Sakkal Majalla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302B26">
        <w:rPr>
          <w:rFonts w:ascii="Sakkal Majalla" w:eastAsia="Calibri" w:hAnsi="Sakkal Majalla" w:cs="Sakkal Majalla"/>
          <w:b/>
          <w:bCs/>
          <w:i/>
          <w:iCs/>
          <w:color w:val="FF0000"/>
          <w:sz w:val="28"/>
          <w:szCs w:val="28"/>
          <w:u w:val="single"/>
          <w:rtl/>
        </w:rPr>
        <w:t xml:space="preserve"> بالتوفيق</w:t>
      </w:r>
    </w:p>
    <w:sectPr w:rsidR="00302B26" w:rsidRPr="0030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MacGeezaSGG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23"/>
    <w:rsid w:val="000A402C"/>
    <w:rsid w:val="002C2BB7"/>
    <w:rsid w:val="00302B26"/>
    <w:rsid w:val="00453339"/>
    <w:rsid w:val="004C1489"/>
    <w:rsid w:val="00757679"/>
    <w:rsid w:val="007A2223"/>
    <w:rsid w:val="007E1E48"/>
    <w:rsid w:val="00841854"/>
    <w:rsid w:val="00A60073"/>
    <w:rsid w:val="00C14904"/>
    <w:rsid w:val="00C676C7"/>
    <w:rsid w:val="00C741C8"/>
    <w:rsid w:val="00D67DF5"/>
    <w:rsid w:val="00E6384A"/>
    <w:rsid w:val="00F0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2024-05-17T16:01:00Z</cp:lastPrinted>
  <dcterms:created xsi:type="dcterms:W3CDTF">2024-05-17T15:53:00Z</dcterms:created>
  <dcterms:modified xsi:type="dcterms:W3CDTF">2024-05-17T16:03:00Z</dcterms:modified>
</cp:coreProperties>
</file>