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46185" w14:textId="77777777" w:rsidR="00E1336B" w:rsidRPr="00C121C9" w:rsidRDefault="00C121C9" w:rsidP="00C121C9">
      <w:pPr>
        <w:jc w:val="center"/>
        <w:rPr>
          <w:b/>
          <w:bCs/>
          <w:sz w:val="28"/>
          <w:szCs w:val="28"/>
        </w:rPr>
      </w:pPr>
      <w:r w:rsidRPr="00C121C9">
        <w:rPr>
          <w:b/>
          <w:bCs/>
          <w:sz w:val="28"/>
          <w:szCs w:val="28"/>
        </w:rPr>
        <w:t>THEORIE DE PROJET . SEMESTRE 2 .DEP ARCHITECTURE. 3eme ANNEE</w:t>
      </w:r>
    </w:p>
    <w:p w14:paraId="268E19B0" w14:textId="77777777" w:rsidR="00C121C9" w:rsidRPr="00C121C9" w:rsidRDefault="00C121C9" w:rsidP="00C121C9">
      <w:pPr>
        <w:jc w:val="center"/>
        <w:rPr>
          <w:b/>
          <w:bCs/>
          <w:sz w:val="28"/>
          <w:szCs w:val="28"/>
        </w:rPr>
      </w:pPr>
      <w:r w:rsidRPr="00C121C9">
        <w:rPr>
          <w:b/>
          <w:bCs/>
          <w:sz w:val="28"/>
          <w:szCs w:val="28"/>
        </w:rPr>
        <w:t>Amel BENZAOUI</w:t>
      </w:r>
    </w:p>
    <w:p w14:paraId="347C3DC5" w14:textId="77777777" w:rsidR="00A4213A" w:rsidRDefault="00A4213A"/>
    <w:p w14:paraId="1D5A7753" w14:textId="77777777" w:rsidR="00A4213A" w:rsidRDefault="00A4213A" w:rsidP="00A4213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A421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QUESTION 1 : Analyse technique du Pavillon de Steven Holl (08 pts)</w:t>
      </w:r>
    </w:p>
    <w:p w14:paraId="32A06CF1" w14:textId="77777777" w:rsidR="00C121C9" w:rsidRPr="00C121C9" w:rsidRDefault="00C121C9" w:rsidP="00C121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C121C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À l’intérieur, le plafond suspendu est constitué de </w:t>
      </w:r>
      <w:r w:rsidRPr="00C121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MDF perforé de 16 mm avec placage de bouleau</w:t>
      </w:r>
      <w:r w:rsidRPr="00C121C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avec une isolation thermique de </w:t>
      </w:r>
      <w:r w:rsidRPr="00C121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30 mm</w:t>
      </w:r>
      <w:r w:rsidRPr="00C121C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. Les espaces vitrés utilisent un système de </w:t>
      </w:r>
      <w:r w:rsidRPr="00C121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double vitrage ; transparent</w:t>
      </w:r>
      <w:r w:rsidRPr="00C121C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permettant un apport important de lumière naturelle.</w:t>
      </w:r>
    </w:p>
    <w:p w14:paraId="4F801F75" w14:textId="77777777" w:rsidR="00C121C9" w:rsidRPr="00C121C9" w:rsidRDefault="00C121C9" w:rsidP="00C121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C121C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La structure secondaire utilise un </w:t>
      </w:r>
      <w:r w:rsidRPr="00C121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profilé en T en acier de 60/60/5 mm</w:t>
      </w:r>
      <w:r w:rsidRPr="00C121C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ainsi qu’un </w:t>
      </w:r>
      <w:r w:rsidRPr="00C121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plat en acier de 100/6</w:t>
      </w:r>
      <w:r w:rsidRPr="00C121C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permettant de supporter les différents éléments de toiture. Une </w:t>
      </w:r>
      <w:r w:rsidRPr="00C121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tôle de cuivre patinée de 4 mm, perforée</w:t>
      </w:r>
      <w:r w:rsidRPr="00C121C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assure la finition extérieure et la protection du complexe constructif.</w:t>
      </w:r>
    </w:p>
    <w:p w14:paraId="0143B768" w14:textId="77777777" w:rsidR="00C121C9" w:rsidRPr="00C121C9" w:rsidRDefault="00C121C9" w:rsidP="00C121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C121C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La façade comprend également une </w:t>
      </w:r>
      <w:r w:rsidRPr="00C121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double vitrage : translucide</w:t>
      </w:r>
      <w:r w:rsidRPr="00C121C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protégeant l’intérieur contre les rayonnements solaires directs. La structure extérieure est renforcée par un </w:t>
      </w:r>
      <w:r w:rsidRPr="00C121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canal d’acier</w:t>
      </w:r>
      <w:r w:rsidRPr="00C121C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associé à un </w:t>
      </w:r>
      <w:r w:rsidRPr="00C121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profilé de bois</w:t>
      </w:r>
      <w:r w:rsidRPr="00C121C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</w:p>
    <w:p w14:paraId="1DDFB37A" w14:textId="77777777" w:rsidR="00C121C9" w:rsidRPr="00C121C9" w:rsidRDefault="00C121C9" w:rsidP="00C121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C121C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La toiture du bâtiment est composée d’une </w:t>
      </w:r>
      <w:r w:rsidRPr="00C121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étanchéité de toiture</w:t>
      </w:r>
      <w:r w:rsidRPr="00C121C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assurant l’étanchéité et la protection contre les racines. L’isolation thermique est réalisée grâce à une </w:t>
      </w:r>
      <w:r w:rsidRPr="00C121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isolation thermique de 100 mm</w:t>
      </w:r>
      <w:r w:rsidRPr="00C121C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placée au-dessus d’un </w:t>
      </w:r>
      <w:r w:rsidRPr="00C121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pare-vapeur</w:t>
      </w:r>
      <w:r w:rsidRPr="00C121C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</w:p>
    <w:p w14:paraId="29F5069F" w14:textId="77777777" w:rsidR="00C121C9" w:rsidRDefault="00C121C9" w:rsidP="00C121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C121C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Le mur est réalisé en </w:t>
      </w:r>
      <w:r w:rsidRPr="00C121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brique silico-calcaire de 150 mm</w:t>
      </w:r>
      <w:r w:rsidRPr="00C121C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tandis que la finition intérieure utilise un </w:t>
      </w:r>
      <w:r w:rsidRPr="00C121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MDF perforé de 16 mm avec placage de bouleau</w:t>
      </w:r>
      <w:r w:rsidRPr="00C121C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avec une isolation en </w:t>
      </w:r>
      <w:r w:rsidRPr="00C121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panneau de mousse rigide de 80 mm</w:t>
      </w:r>
      <w:r w:rsidRPr="00C121C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. Certains panneaux de façade sont composés de </w:t>
      </w:r>
      <w:r w:rsidRPr="00C121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panneau de fibre de verre avec revêtement en résine artificielle</w:t>
      </w:r>
      <w:r w:rsidRPr="00C121C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translucides permettant la diffusion de la lumière naturelle. Enfin, le système d’éclairage intégré complète l’ambiance lumineuse intérieure grâce au </w:t>
      </w:r>
      <w:r w:rsidRPr="00C121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éclairage</w:t>
      </w:r>
      <w:r w:rsidRPr="00C121C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</w:p>
    <w:p w14:paraId="380BC2B0" w14:textId="77777777" w:rsidR="00C121C9" w:rsidRPr="00C121C9" w:rsidRDefault="00C121C9" w:rsidP="00C121C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fr-FR"/>
          <w14:ligatures w14:val="none"/>
        </w:rPr>
      </w:pPr>
      <w:r w:rsidRPr="00C121C9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fr-FR"/>
          <w14:ligatures w14:val="none"/>
        </w:rPr>
        <w:t>MDF perforé de 16 mm avec placage de bouleau</w:t>
      </w:r>
      <w:r w:rsidRPr="00C121C9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fr-FR"/>
          <w14:ligatures w14:val="none"/>
        </w:rPr>
        <w:t xml:space="preserve"> </w:t>
      </w:r>
    </w:p>
    <w:p w14:paraId="3638AF9E" w14:textId="77777777" w:rsidR="00C121C9" w:rsidRPr="00C121C9" w:rsidRDefault="00C121C9" w:rsidP="00C121C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fr-FR"/>
          <w14:ligatures w14:val="none"/>
        </w:rPr>
      </w:pPr>
      <w:r w:rsidRPr="00C121C9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fr-FR"/>
          <w14:ligatures w14:val="none"/>
        </w:rPr>
        <w:t>30 mm</w:t>
      </w:r>
      <w:r w:rsidRPr="00C121C9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fr-FR"/>
          <w14:ligatures w14:val="none"/>
        </w:rPr>
        <w:t xml:space="preserve"> </w:t>
      </w:r>
    </w:p>
    <w:p w14:paraId="37B6221B" w14:textId="77777777" w:rsidR="00C121C9" w:rsidRPr="00C121C9" w:rsidRDefault="00C121C9" w:rsidP="00C121C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fr-FR"/>
          <w14:ligatures w14:val="none"/>
        </w:rPr>
      </w:pPr>
      <w:r w:rsidRPr="00C121C9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fr-FR"/>
          <w14:ligatures w14:val="none"/>
        </w:rPr>
        <w:t>double vitrage transparent</w:t>
      </w:r>
      <w:r w:rsidRPr="00C121C9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fr-FR"/>
          <w14:ligatures w14:val="none"/>
        </w:rPr>
        <w:t xml:space="preserve"> </w:t>
      </w:r>
    </w:p>
    <w:p w14:paraId="61473A40" w14:textId="77777777" w:rsidR="00C121C9" w:rsidRPr="00C121C9" w:rsidRDefault="00C121C9" w:rsidP="00C121C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fr-FR"/>
          <w14:ligatures w14:val="none"/>
        </w:rPr>
      </w:pPr>
      <w:r w:rsidRPr="00C121C9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fr-FR"/>
          <w14:ligatures w14:val="none"/>
        </w:rPr>
        <w:t>profilé en T en acier de 60/60/5 mm</w:t>
      </w:r>
      <w:r w:rsidRPr="00C121C9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fr-FR"/>
          <w14:ligatures w14:val="none"/>
        </w:rPr>
        <w:t xml:space="preserve"> </w:t>
      </w:r>
    </w:p>
    <w:p w14:paraId="04929E4B" w14:textId="77777777" w:rsidR="00C121C9" w:rsidRPr="00C121C9" w:rsidRDefault="00C121C9" w:rsidP="00C121C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C121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plat en acier de 100/6</w:t>
      </w:r>
      <w:r w:rsidRPr="00C121C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</w:p>
    <w:p w14:paraId="07CF4C16" w14:textId="77777777" w:rsidR="00C121C9" w:rsidRPr="00C121C9" w:rsidRDefault="00C121C9" w:rsidP="00C121C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C121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tôle de cuivre patinée de 4 mm perforée</w:t>
      </w:r>
      <w:r w:rsidRPr="00C121C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</w:p>
    <w:p w14:paraId="36A69B3E" w14:textId="77777777" w:rsidR="00C121C9" w:rsidRPr="00C121C9" w:rsidRDefault="00C121C9" w:rsidP="00C121C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C121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double vitrage translucide</w:t>
      </w:r>
      <w:r w:rsidRPr="00C121C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</w:p>
    <w:p w14:paraId="309E7CA8" w14:textId="77777777" w:rsidR="00C121C9" w:rsidRPr="00C121C9" w:rsidRDefault="00C121C9" w:rsidP="00C121C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fr-FR"/>
          <w14:ligatures w14:val="none"/>
        </w:rPr>
      </w:pPr>
      <w:r w:rsidRPr="00C121C9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fr-FR"/>
          <w14:ligatures w14:val="none"/>
        </w:rPr>
        <w:t>canal d’acier</w:t>
      </w:r>
      <w:r w:rsidRPr="00C121C9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fr-FR"/>
          <w14:ligatures w14:val="none"/>
        </w:rPr>
        <w:t xml:space="preserve"> </w:t>
      </w:r>
    </w:p>
    <w:p w14:paraId="4B20F86C" w14:textId="77777777" w:rsidR="00C121C9" w:rsidRPr="00C121C9" w:rsidRDefault="00C121C9" w:rsidP="00C121C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fr-FR"/>
          <w14:ligatures w14:val="none"/>
        </w:rPr>
      </w:pPr>
      <w:r w:rsidRPr="00C121C9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fr-FR"/>
          <w14:ligatures w14:val="none"/>
        </w:rPr>
        <w:t>profilé de bois</w:t>
      </w:r>
      <w:r w:rsidRPr="00C121C9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fr-FR"/>
          <w14:ligatures w14:val="none"/>
        </w:rPr>
        <w:t xml:space="preserve"> </w:t>
      </w:r>
    </w:p>
    <w:p w14:paraId="4AE71456" w14:textId="77777777" w:rsidR="00C121C9" w:rsidRPr="00C121C9" w:rsidRDefault="00C121C9" w:rsidP="00C121C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C121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étanchéité de toiture</w:t>
      </w:r>
      <w:r w:rsidRPr="00C121C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</w:p>
    <w:p w14:paraId="1E03FD90" w14:textId="77777777" w:rsidR="00C121C9" w:rsidRPr="00C121C9" w:rsidRDefault="00C121C9" w:rsidP="00C121C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C121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isolation thermique</w:t>
      </w:r>
      <w:r w:rsidRPr="00C121C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</w:p>
    <w:p w14:paraId="1A233A62" w14:textId="77777777" w:rsidR="00C121C9" w:rsidRPr="00C121C9" w:rsidRDefault="00C121C9" w:rsidP="00C121C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C121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pare-vapeur</w:t>
      </w:r>
      <w:r w:rsidRPr="00C121C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</w:p>
    <w:p w14:paraId="54837680" w14:textId="77777777" w:rsidR="00C121C9" w:rsidRPr="00C121C9" w:rsidRDefault="00C121C9" w:rsidP="00C121C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C121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brique silico-calcaire</w:t>
      </w:r>
      <w:r w:rsidRPr="00C121C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</w:p>
    <w:p w14:paraId="5265EF7B" w14:textId="77777777" w:rsidR="00C121C9" w:rsidRPr="00C121C9" w:rsidRDefault="00C121C9" w:rsidP="00C121C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fr-FR"/>
          <w14:ligatures w14:val="none"/>
        </w:rPr>
      </w:pPr>
      <w:r w:rsidRPr="00C121C9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fr-FR"/>
          <w14:ligatures w14:val="none"/>
        </w:rPr>
        <w:t>MDF perforé de 16 mm avec placage de bouleau</w:t>
      </w:r>
      <w:r w:rsidRPr="00C121C9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fr-FR"/>
          <w14:ligatures w14:val="none"/>
        </w:rPr>
        <w:t xml:space="preserve"> </w:t>
      </w:r>
    </w:p>
    <w:p w14:paraId="2BA11980" w14:textId="77777777" w:rsidR="00C121C9" w:rsidRPr="00C121C9" w:rsidRDefault="00C121C9" w:rsidP="00C121C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fr-FR"/>
          <w14:ligatures w14:val="none"/>
        </w:rPr>
      </w:pPr>
      <w:r w:rsidRPr="00C121C9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fr-FR"/>
          <w14:ligatures w14:val="none"/>
        </w:rPr>
        <w:t>panneau de mousse rigide de 80 mm</w:t>
      </w:r>
      <w:r w:rsidRPr="00C121C9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fr-FR"/>
          <w14:ligatures w14:val="none"/>
        </w:rPr>
        <w:t xml:space="preserve"> </w:t>
      </w:r>
    </w:p>
    <w:p w14:paraId="5E5C18D8" w14:textId="77777777" w:rsidR="00C121C9" w:rsidRPr="00C121C9" w:rsidRDefault="00C121C9" w:rsidP="00C121C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fr-FR"/>
          <w14:ligatures w14:val="none"/>
        </w:rPr>
      </w:pPr>
      <w:r w:rsidRPr="00C121C9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fr-FR"/>
          <w14:ligatures w14:val="none"/>
        </w:rPr>
        <w:t>panneaux de fibre de verre avec revêtement en résine artificielle translucides</w:t>
      </w:r>
      <w:r w:rsidRPr="00C121C9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fr-FR"/>
          <w14:ligatures w14:val="none"/>
        </w:rPr>
        <w:t xml:space="preserve"> </w:t>
      </w:r>
    </w:p>
    <w:p w14:paraId="0E31EC0A" w14:textId="77777777" w:rsidR="00C121C9" w:rsidRPr="00C121C9" w:rsidRDefault="00C121C9" w:rsidP="00C121C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fr-FR"/>
          <w14:ligatures w14:val="none"/>
        </w:rPr>
      </w:pPr>
      <w:r w:rsidRPr="00C121C9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fr-FR"/>
          <w14:ligatures w14:val="none"/>
        </w:rPr>
        <w:t>éclairage</w:t>
      </w:r>
      <w:r w:rsidRPr="00C121C9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fr-FR"/>
          <w14:ligatures w14:val="none"/>
        </w:rPr>
        <w:t xml:space="preserve"> </w:t>
      </w:r>
    </w:p>
    <w:p w14:paraId="2C38FFBF" w14:textId="77777777" w:rsidR="00A4213A" w:rsidRPr="00A4213A" w:rsidRDefault="00A4213A" w:rsidP="00A42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421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lastRenderedPageBreak/>
        <w:t>Barème détaillé (0,5 pt par mot-clé correct, total 8 pts).</w:t>
      </w:r>
    </w:p>
    <w:p w14:paraId="21B7FA23" w14:textId="77777777" w:rsidR="00A4213A" w:rsidRPr="00A4213A" w:rsidRDefault="00A4213A" w:rsidP="00A421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2A03C996" w14:textId="77777777" w:rsidR="00A4213A" w:rsidRPr="00A4213A" w:rsidRDefault="00A4213A" w:rsidP="00A4213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A421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QUESTION 2 : Analyse comparative des façades (06 pts)</w:t>
      </w:r>
    </w:p>
    <w:p w14:paraId="6E595429" w14:textId="77777777" w:rsidR="00A4213A" w:rsidRPr="00A4213A" w:rsidRDefault="00A4213A" w:rsidP="00A421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421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Louis Sullivan (Transparence Anatomique) :</w:t>
      </w:r>
    </w:p>
    <w:p w14:paraId="73FE8C79" w14:textId="77777777" w:rsidR="00A4213A" w:rsidRPr="00A4213A" w:rsidRDefault="00A4213A" w:rsidP="00A4213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421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Principe :</w:t>
      </w:r>
      <w:r w:rsidRPr="00A4213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Refus de masquer la structure. Le squelette en fonte est accentué par des piliers verticaux dominants. </w:t>
      </w:r>
    </w:p>
    <w:p w14:paraId="075FE73C" w14:textId="77777777" w:rsidR="00A4213A" w:rsidRPr="00A4213A" w:rsidRDefault="00A4213A" w:rsidP="00A4213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421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Matériau :</w:t>
      </w:r>
      <w:r w:rsidRPr="00A4213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Utilisation de terre cuite rouge préfabriquée avec des motifs botaniques, servant de peau structurelle et de protection incendie. </w:t>
      </w:r>
    </w:p>
    <w:p w14:paraId="0536A438" w14:textId="77777777" w:rsidR="00A4213A" w:rsidRPr="00A4213A" w:rsidRDefault="00A4213A" w:rsidP="00A421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421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Ludwig Mies van der Rohe (Clarté Structurelle) :</w:t>
      </w:r>
    </w:p>
    <w:p w14:paraId="1C46AD65" w14:textId="77777777" w:rsidR="00A4213A" w:rsidRPr="00A4213A" w:rsidRDefault="00A4213A" w:rsidP="00A4213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421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Principe :</w:t>
      </w:r>
      <w:r w:rsidRPr="00A4213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Absence totale d'ornement. Le mur-rideau en verre est une couche indépendante fixée au cadre porteur (ex: Lake Shore Drive). </w:t>
      </w:r>
    </w:p>
    <w:p w14:paraId="5E76C63E" w14:textId="77777777" w:rsidR="00A4213A" w:rsidRPr="00A4213A" w:rsidRDefault="00A4213A" w:rsidP="00A4213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421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Expression :</w:t>
      </w:r>
      <w:r w:rsidRPr="00A4213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Utilisation de l'acier (poutres en I) et du verre pour une expression pure de la structure et du matériau. </w:t>
      </w:r>
    </w:p>
    <w:p w14:paraId="0DA02E77" w14:textId="77777777" w:rsidR="00A4213A" w:rsidRPr="00A4213A" w:rsidRDefault="00A4213A" w:rsidP="00A4213A">
      <w:pPr>
        <w:spacing w:beforeAutospacing="1" w:after="0" w:afterAutospacing="1" w:line="240" w:lineRule="auto"/>
        <w:ind w:left="1440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55233AF5" w14:textId="77777777" w:rsidR="00A4213A" w:rsidRPr="00A4213A" w:rsidRDefault="00A4213A" w:rsidP="00A421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421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Rogers et Davies (Façade Performative / High-Tech) :</w:t>
      </w:r>
    </w:p>
    <w:p w14:paraId="4399BDE4" w14:textId="77777777" w:rsidR="00A4213A" w:rsidRPr="00A4213A" w:rsidRDefault="00A4213A" w:rsidP="00A4213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421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Principe :</w:t>
      </w:r>
      <w:r w:rsidRPr="00A4213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La façade devient une machine. Externalisation des services (gaines, ascenseurs) pour libérer le plan intérieur (ex: Lloyd’s of London). </w:t>
      </w:r>
    </w:p>
    <w:p w14:paraId="7C16BB73" w14:textId="77777777" w:rsidR="00A4213A" w:rsidRDefault="00A4213A" w:rsidP="00A4213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421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Innovation :</w:t>
      </w:r>
      <w:r w:rsidRPr="00A4213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Concepts comme le "Polyvalent Wall" de Mike Davies, une paroi multicouche gérant l'énergie, la lumière et la chaleur comme une peau biologique. </w:t>
      </w:r>
    </w:p>
    <w:p w14:paraId="0F223300" w14:textId="77777777" w:rsidR="00A4213A" w:rsidRPr="00A4213A" w:rsidRDefault="00A4213A" w:rsidP="00A4213A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2E0B432B" w14:textId="77777777" w:rsidR="00A4213A" w:rsidRPr="00A4213A" w:rsidRDefault="00A4213A" w:rsidP="00A42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421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Barème détaillé : 2 pts par architecte (1 pt pour le principe, 1 pt pour la logique matérielle).</w:t>
      </w:r>
    </w:p>
    <w:p w14:paraId="011C9CFF" w14:textId="77777777" w:rsidR="00A4213A" w:rsidRPr="00A4213A" w:rsidRDefault="00A4213A" w:rsidP="00A421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41BF83FB" w14:textId="77777777" w:rsidR="00A4213A" w:rsidRPr="00A4213A" w:rsidRDefault="00A4213A" w:rsidP="00A4213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A421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QUESTION 3 : Correction de phrases (Lumière et Gravité) (06 pts)</w:t>
      </w:r>
    </w:p>
    <w:p w14:paraId="6B370781" w14:textId="77777777" w:rsidR="00A4213A" w:rsidRPr="00A4213A" w:rsidRDefault="00A4213A" w:rsidP="00A42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4213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Basé sur les cours "Light" et "Gravity".</w:t>
      </w:r>
    </w:p>
    <w:p w14:paraId="3927C491" w14:textId="77777777" w:rsidR="00A4213A" w:rsidRPr="00A4213A" w:rsidRDefault="00A4213A" w:rsidP="00A421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421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Phrase 1 (Faux) :</w:t>
      </w:r>
      <w:r w:rsidRPr="00A4213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"La Menil Collection et la bibliothèque d'Exeter utilisent des structures massives en brique."</w:t>
      </w:r>
    </w:p>
    <w:p w14:paraId="45ACCD4F" w14:textId="77777777" w:rsidR="00A4213A" w:rsidRPr="00A4213A" w:rsidRDefault="00A4213A" w:rsidP="00A4213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421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Correction :</w:t>
      </w:r>
      <w:r w:rsidRPr="00A4213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Si Exeter utilise effectivement la brique pour exprimer la masse et la compression , la </w:t>
      </w:r>
      <w:r w:rsidRPr="00A421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Menil Collection (Renzo Piano)</w:t>
      </w:r>
      <w:r w:rsidRPr="00A4213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utilise une structure légère en acier et des "feuilles" de ferrociment pour diffuser la lumière, privilégiant la légèreté visuelle. </w:t>
      </w:r>
    </w:p>
    <w:p w14:paraId="114D395A" w14:textId="77777777" w:rsidR="00A4213A" w:rsidRPr="00A4213A" w:rsidRDefault="00A4213A" w:rsidP="00A4213A">
      <w:pPr>
        <w:spacing w:beforeAutospacing="1" w:after="0" w:afterAutospacing="1" w:line="240" w:lineRule="auto"/>
        <w:ind w:left="1440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5A9DE984" w14:textId="77777777" w:rsidR="00A4213A" w:rsidRPr="00A4213A" w:rsidRDefault="00A4213A" w:rsidP="00A421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421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Phrase 2 (Faux) :</w:t>
      </w:r>
      <w:r w:rsidRPr="00A4213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"L'éclairage zénithal de la Menil est statique, Kahn a conçu des puits mobiles pour Exeter."</w:t>
      </w:r>
    </w:p>
    <w:p w14:paraId="77145327" w14:textId="77777777" w:rsidR="00A4213A" w:rsidRPr="00A4213A" w:rsidRDefault="00A4213A" w:rsidP="00A4213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421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Correction :</w:t>
      </w:r>
      <w:r w:rsidRPr="00A4213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C'est l'inverse ou imprécis. À la Menil, les plateformes de toit ("leaves") sont fixes mais conçues pour filtrer la lumière changeante</w:t>
      </w:r>
      <w:r w:rsidR="00C121C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selon le </w:t>
      </w:r>
      <w:r w:rsidR="00C121C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lastRenderedPageBreak/>
        <w:t>jour ou la saison</w:t>
      </w:r>
      <w:r w:rsidRPr="00A4213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. Kahn, à Exeter, utilise des </w:t>
      </w:r>
      <w:r w:rsidRPr="00A421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puits de lumière massifs au sommet d'un atrium central</w:t>
      </w:r>
      <w:r w:rsidRPr="00A4213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pour apporter une lumière monumentale et fixe au cœur du bâtiment. </w:t>
      </w:r>
    </w:p>
    <w:p w14:paraId="61C6F614" w14:textId="77777777" w:rsidR="00A4213A" w:rsidRPr="00A4213A" w:rsidRDefault="00A4213A" w:rsidP="00A4213A">
      <w:pPr>
        <w:spacing w:beforeAutospacing="1" w:after="0" w:afterAutospacing="1" w:line="240" w:lineRule="auto"/>
        <w:ind w:left="1440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28DB414C" w14:textId="77777777" w:rsidR="00A4213A" w:rsidRPr="00A4213A" w:rsidRDefault="00A4213A" w:rsidP="00A421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421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Phrase 3 (Faux) :</w:t>
      </w:r>
      <w:r w:rsidRPr="00A4213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"La Menil Collection ignore les contraintes de la lumière naturelle."</w:t>
      </w:r>
    </w:p>
    <w:p w14:paraId="7E64C6E3" w14:textId="77777777" w:rsidR="00A4213A" w:rsidRPr="00A4213A" w:rsidRDefault="00A4213A" w:rsidP="00A4213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421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Correction :</w:t>
      </w:r>
      <w:r w:rsidRPr="00A4213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Au contraire, la Menil Collection est une référence majeure pour la </w:t>
      </w:r>
      <w:r w:rsidRPr="00A421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maîtrise de la lumière naturelle</w:t>
      </w:r>
      <w:r w:rsidRPr="00A4213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utilisant des déflecteurs pour protéger les œuvres d'art tout en gardant un contact avec les variations du ciel. </w:t>
      </w:r>
    </w:p>
    <w:p w14:paraId="7B2F0133" w14:textId="77777777" w:rsidR="00A4213A" w:rsidRPr="00A4213A" w:rsidRDefault="00A4213A" w:rsidP="00A4213A">
      <w:pPr>
        <w:spacing w:beforeAutospacing="1" w:after="0" w:afterAutospacing="1" w:line="240" w:lineRule="auto"/>
        <w:ind w:left="1440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554E02C7" w14:textId="77777777" w:rsidR="00A4213A" w:rsidRPr="00A4213A" w:rsidRDefault="00A4213A" w:rsidP="00A421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421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Phrase 4 (Faux) :</w:t>
      </w:r>
      <w:r w:rsidRPr="00A4213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"Louis Kahn utilise le béton au centre pour donner une impression de flottement."</w:t>
      </w:r>
    </w:p>
    <w:p w14:paraId="2CCD72DF" w14:textId="77777777" w:rsidR="00A4213A" w:rsidRPr="00A4213A" w:rsidRDefault="00A4213A" w:rsidP="00A4213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421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Correction :</w:t>
      </w:r>
      <w:r w:rsidRPr="00A4213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Dans la bibliothèque d'Exeter, Kahn utilise le béton au centre pour exprimer la </w:t>
      </w:r>
      <w:r w:rsidRPr="00A421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force de gravité et la stabilité</w:t>
      </w:r>
      <w:r w:rsidRPr="00A4213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. Le vide central est entouré de murs en béton massifs qui soulignent le poids du savoir, s'opposant à la structure périphérique en brique. </w:t>
      </w:r>
    </w:p>
    <w:p w14:paraId="60BCA209" w14:textId="77777777" w:rsidR="00A4213A" w:rsidRPr="00A4213A" w:rsidRDefault="00A4213A" w:rsidP="00A42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421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Barème détaillé : 1,5 pt par phrase corrigée avec justification théorique.</w:t>
      </w:r>
    </w:p>
    <w:p w14:paraId="3FA128FB" w14:textId="77777777" w:rsidR="00A4213A" w:rsidRDefault="00A4213A"/>
    <w:sectPr w:rsidR="00A42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5150E1"/>
    <w:multiLevelType w:val="multilevel"/>
    <w:tmpl w:val="3550B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4D6E8B"/>
    <w:multiLevelType w:val="multilevel"/>
    <w:tmpl w:val="4860E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F244FB"/>
    <w:multiLevelType w:val="multilevel"/>
    <w:tmpl w:val="3272C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C86634"/>
    <w:multiLevelType w:val="multilevel"/>
    <w:tmpl w:val="7040D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4C2269"/>
    <w:multiLevelType w:val="multilevel"/>
    <w:tmpl w:val="7BB09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837105">
    <w:abstractNumId w:val="0"/>
  </w:num>
  <w:num w:numId="2" w16cid:durableId="1135097042">
    <w:abstractNumId w:val="4"/>
  </w:num>
  <w:num w:numId="3" w16cid:durableId="1480070022">
    <w:abstractNumId w:val="1"/>
  </w:num>
  <w:num w:numId="4" w16cid:durableId="1340933115">
    <w:abstractNumId w:val="2"/>
  </w:num>
  <w:num w:numId="5" w16cid:durableId="10370035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13A"/>
    <w:rsid w:val="00161BB0"/>
    <w:rsid w:val="0041494A"/>
    <w:rsid w:val="00A4213A"/>
    <w:rsid w:val="00BF7AE8"/>
    <w:rsid w:val="00C121C9"/>
    <w:rsid w:val="00E1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F3BD3"/>
  <w15:chartTrackingRefBased/>
  <w15:docId w15:val="{F6D9DF63-DCAD-4297-976A-C6B71F983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A4213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A4213A"/>
    <w:rPr>
      <w:rFonts w:ascii="Times New Roman" w:eastAsia="Times New Roman" w:hAnsi="Times New Roman" w:cs="Times New Roman"/>
      <w:b/>
      <w:bCs/>
      <w:kern w:val="0"/>
      <w:sz w:val="24"/>
      <w:szCs w:val="24"/>
      <w:lang w:eastAsia="fr-F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42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customStyle="1" w:styleId="citation-55">
    <w:name w:val="citation-55"/>
    <w:basedOn w:val="Policepardfaut"/>
    <w:rsid w:val="00A4213A"/>
  </w:style>
  <w:style w:type="character" w:customStyle="1" w:styleId="citation-54">
    <w:name w:val="citation-54"/>
    <w:basedOn w:val="Policepardfaut"/>
    <w:rsid w:val="00A4213A"/>
  </w:style>
  <w:style w:type="character" w:customStyle="1" w:styleId="citation-53">
    <w:name w:val="citation-53"/>
    <w:basedOn w:val="Policepardfaut"/>
    <w:rsid w:val="00A4213A"/>
  </w:style>
  <w:style w:type="character" w:customStyle="1" w:styleId="button-label">
    <w:name w:val="button-label"/>
    <w:basedOn w:val="Policepardfaut"/>
    <w:rsid w:val="00A4213A"/>
  </w:style>
  <w:style w:type="character" w:customStyle="1" w:styleId="citation-52">
    <w:name w:val="citation-52"/>
    <w:basedOn w:val="Policepardfaut"/>
    <w:rsid w:val="00A4213A"/>
  </w:style>
  <w:style w:type="character" w:customStyle="1" w:styleId="citation-51">
    <w:name w:val="citation-51"/>
    <w:basedOn w:val="Policepardfaut"/>
    <w:rsid w:val="00A4213A"/>
  </w:style>
  <w:style w:type="character" w:customStyle="1" w:styleId="citation-50">
    <w:name w:val="citation-50"/>
    <w:basedOn w:val="Policepardfaut"/>
    <w:rsid w:val="00A4213A"/>
  </w:style>
  <w:style w:type="character" w:customStyle="1" w:styleId="citation-49">
    <w:name w:val="citation-49"/>
    <w:basedOn w:val="Policepardfaut"/>
    <w:rsid w:val="00A4213A"/>
  </w:style>
  <w:style w:type="character" w:customStyle="1" w:styleId="citation-48">
    <w:name w:val="citation-48"/>
    <w:basedOn w:val="Policepardfaut"/>
    <w:rsid w:val="00A4213A"/>
  </w:style>
  <w:style w:type="character" w:customStyle="1" w:styleId="citation-47">
    <w:name w:val="citation-47"/>
    <w:basedOn w:val="Policepardfaut"/>
    <w:rsid w:val="00A4213A"/>
  </w:style>
  <w:style w:type="character" w:customStyle="1" w:styleId="citation-46">
    <w:name w:val="citation-46"/>
    <w:basedOn w:val="Policepardfaut"/>
    <w:rsid w:val="00A4213A"/>
  </w:style>
  <w:style w:type="character" w:customStyle="1" w:styleId="citation-45">
    <w:name w:val="citation-45"/>
    <w:basedOn w:val="Policepardfaut"/>
    <w:rsid w:val="00A4213A"/>
  </w:style>
  <w:style w:type="character" w:customStyle="1" w:styleId="citation-44">
    <w:name w:val="citation-44"/>
    <w:basedOn w:val="Policepardfaut"/>
    <w:rsid w:val="00A4213A"/>
  </w:style>
  <w:style w:type="character" w:customStyle="1" w:styleId="citation-43">
    <w:name w:val="citation-43"/>
    <w:basedOn w:val="Policepardfaut"/>
    <w:rsid w:val="00A4213A"/>
  </w:style>
  <w:style w:type="character" w:customStyle="1" w:styleId="citation-42">
    <w:name w:val="citation-42"/>
    <w:basedOn w:val="Policepardfaut"/>
    <w:rsid w:val="00A4213A"/>
  </w:style>
  <w:style w:type="character" w:customStyle="1" w:styleId="citation-41">
    <w:name w:val="citation-41"/>
    <w:basedOn w:val="Policepardfaut"/>
    <w:rsid w:val="00A4213A"/>
  </w:style>
  <w:style w:type="character" w:customStyle="1" w:styleId="citation-40">
    <w:name w:val="citation-40"/>
    <w:basedOn w:val="Policepardfaut"/>
    <w:rsid w:val="00A4213A"/>
  </w:style>
  <w:style w:type="character" w:customStyle="1" w:styleId="citation-39">
    <w:name w:val="citation-39"/>
    <w:basedOn w:val="Policepardfaut"/>
    <w:rsid w:val="00A4213A"/>
  </w:style>
  <w:style w:type="character" w:customStyle="1" w:styleId="citation-38">
    <w:name w:val="citation-38"/>
    <w:basedOn w:val="Policepardfaut"/>
    <w:rsid w:val="00A4213A"/>
  </w:style>
  <w:style w:type="character" w:customStyle="1" w:styleId="citation-37">
    <w:name w:val="citation-37"/>
    <w:basedOn w:val="Policepardfaut"/>
    <w:rsid w:val="00A4213A"/>
  </w:style>
  <w:style w:type="character" w:customStyle="1" w:styleId="citation-36">
    <w:name w:val="citation-36"/>
    <w:basedOn w:val="Policepardfaut"/>
    <w:rsid w:val="00A4213A"/>
  </w:style>
  <w:style w:type="character" w:customStyle="1" w:styleId="citation-35">
    <w:name w:val="citation-35"/>
    <w:basedOn w:val="Policepardfaut"/>
    <w:rsid w:val="00A4213A"/>
  </w:style>
  <w:style w:type="character" w:customStyle="1" w:styleId="citation-34">
    <w:name w:val="citation-34"/>
    <w:basedOn w:val="Policepardfaut"/>
    <w:rsid w:val="00A4213A"/>
  </w:style>
  <w:style w:type="character" w:customStyle="1" w:styleId="citation-33">
    <w:name w:val="citation-33"/>
    <w:basedOn w:val="Policepardfaut"/>
    <w:rsid w:val="00A4213A"/>
  </w:style>
  <w:style w:type="character" w:customStyle="1" w:styleId="citation-32">
    <w:name w:val="citation-32"/>
    <w:basedOn w:val="Policepardfaut"/>
    <w:rsid w:val="00A4213A"/>
  </w:style>
  <w:style w:type="character" w:customStyle="1" w:styleId="citation-31">
    <w:name w:val="citation-31"/>
    <w:basedOn w:val="Policepardfaut"/>
    <w:rsid w:val="00A4213A"/>
  </w:style>
  <w:style w:type="character" w:customStyle="1" w:styleId="citation-30">
    <w:name w:val="citation-30"/>
    <w:basedOn w:val="Policepardfaut"/>
    <w:rsid w:val="00A4213A"/>
  </w:style>
  <w:style w:type="character" w:customStyle="1" w:styleId="citation-29">
    <w:name w:val="citation-29"/>
    <w:basedOn w:val="Policepardfaut"/>
    <w:rsid w:val="00A4213A"/>
  </w:style>
  <w:style w:type="character" w:customStyle="1" w:styleId="citation-28">
    <w:name w:val="citation-28"/>
    <w:basedOn w:val="Policepardfaut"/>
    <w:rsid w:val="00A4213A"/>
  </w:style>
  <w:style w:type="character" w:styleId="lev">
    <w:name w:val="Strong"/>
    <w:basedOn w:val="Policepardfaut"/>
    <w:uiPriority w:val="22"/>
    <w:qFormat/>
    <w:rsid w:val="00C121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2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28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25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41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61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415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217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08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232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2181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46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42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52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271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1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72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008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074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989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0948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7696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1659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0095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4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6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7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25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75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95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40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45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92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32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52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80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764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univoeb fsta</cp:lastModifiedBy>
  <cp:revision>2</cp:revision>
  <dcterms:created xsi:type="dcterms:W3CDTF">2026-05-19T08:51:00Z</dcterms:created>
  <dcterms:modified xsi:type="dcterms:W3CDTF">2026-05-19T08:51:00Z</dcterms:modified>
</cp:coreProperties>
</file>