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
    <w:bookmarkStart w:id="1" w:name="_GoBack"/>
    <w:bookmarkEnd w:id="1"/>
    <w:p w14:paraId="17F9FB3F" w14:textId="177E0B8B" w:rsidR="00A53A5C" w:rsidRPr="00EC1BD2" w:rsidRDefault="00D76CF5" w:rsidP="00EC1BD2">
      <w:pPr>
        <w:jc w:val="center"/>
        <w:rPr>
          <w:rFonts w:cs="Traditional Arabic"/>
          <w:b/>
          <w:bCs/>
          <w:color w:val="FF0000"/>
          <w:sz w:val="36"/>
          <w:szCs w:val="36"/>
          <w:rtl/>
        </w:rPr>
      </w:pPr>
      <w:r>
        <w:rPr>
          <w:rFonts w:cs="Traditional Arabic"/>
          <w:b/>
          <w:bCs/>
          <w:noProof/>
          <w:color w:val="FF0000"/>
          <w:sz w:val="36"/>
          <w:szCs w:val="36"/>
          <w:rtl/>
          <w:lang w:val="fr-FR" w:eastAsia="fr-FR" w:bidi="ar-SA"/>
        </w:rPr>
        <mc:AlternateContent>
          <mc:Choice Requires="wps">
            <w:drawing>
              <wp:anchor distT="0" distB="0" distL="114300" distR="114300" simplePos="0" relativeHeight="251672576" behindDoc="0" locked="0" layoutInCell="1" allowOverlap="1" wp14:anchorId="215D4084" wp14:editId="5ADC0BBA">
                <wp:simplePos x="0" y="0"/>
                <wp:positionH relativeFrom="column">
                  <wp:posOffset>824865</wp:posOffset>
                </wp:positionH>
                <wp:positionV relativeFrom="paragraph">
                  <wp:posOffset>-93980</wp:posOffset>
                </wp:positionV>
                <wp:extent cx="7328535" cy="2381250"/>
                <wp:effectExtent l="0" t="0" r="24765" b="19050"/>
                <wp:wrapNone/>
                <wp:docPr id="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8535" cy="23812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AA31BD0" w14:textId="77777777"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البـطـاقة الـفـنيـة</w:t>
                            </w:r>
                          </w:p>
                          <w:p w14:paraId="1E4BBB32" w14:textId="77777777" w:rsidR="00C76D27" w:rsidRDefault="00C76D27" w:rsidP="00E646E0">
                            <w:pPr>
                              <w:keepNext/>
                              <w:spacing w:before="120"/>
                              <w:ind w:left="720" w:hanging="360"/>
                              <w:jc w:val="center"/>
                              <w:outlineLvl w:val="0"/>
                              <w:rPr>
                                <w:rFonts w:cs="Traditional Arabic"/>
                                <w:b/>
                                <w:bCs/>
                                <w:color w:val="0000FF"/>
                                <w:sz w:val="44"/>
                                <w:szCs w:val="44"/>
                              </w:rPr>
                            </w:pPr>
                            <w:r w:rsidRPr="00C76D27">
                              <w:rPr>
                                <w:rFonts w:cs="Traditional Arabic"/>
                                <w:b/>
                                <w:bCs/>
                                <w:color w:val="0000FF"/>
                                <w:sz w:val="44"/>
                                <w:szCs w:val="44"/>
                                <w:rtl/>
                              </w:rPr>
                              <w:t>تكوين احترافي في الهندسة المعمارية والتصميم الداخلي</w:t>
                            </w:r>
                          </w:p>
                          <w:p w14:paraId="420FA410" w14:textId="259D4ACF" w:rsidR="00082806" w:rsidRPr="00082806" w:rsidRDefault="00082806" w:rsidP="00E646E0">
                            <w:pPr>
                              <w:keepNext/>
                              <w:spacing w:before="120"/>
                              <w:ind w:left="720" w:hanging="360"/>
                              <w:jc w:val="center"/>
                              <w:outlineLvl w:val="0"/>
                              <w:rPr>
                                <w:rFonts w:cs="Traditional Arabic"/>
                                <w:b/>
                                <w:bCs/>
                                <w:color w:val="0000FF"/>
                                <w:sz w:val="44"/>
                                <w:szCs w:val="44"/>
                                <w:lang w:val="fr-FR"/>
                              </w:rPr>
                            </w:pPr>
                            <w:r w:rsidRPr="00082806">
                              <w:rPr>
                                <w:rFonts w:cs="Traditional Arabic"/>
                                <w:b/>
                                <w:bCs/>
                                <w:color w:val="0000FF"/>
                                <w:sz w:val="44"/>
                                <w:szCs w:val="44"/>
                                <w:lang w:val="fr-FR"/>
                              </w:rPr>
                              <w:t xml:space="preserve">Licence professionnelle en </w:t>
                            </w:r>
                            <w:r w:rsidR="00E646E0" w:rsidRPr="00E646E0">
                              <w:rPr>
                                <w:rFonts w:cs="Traditional Arabic"/>
                                <w:b/>
                                <w:bCs/>
                                <w:color w:val="0000FF"/>
                                <w:sz w:val="44"/>
                                <w:szCs w:val="44"/>
                                <w:lang w:val="fr-FR"/>
                              </w:rPr>
                              <w:t>Formation professionnalisante en architecture et design d'intérieur</w:t>
                            </w:r>
                          </w:p>
                          <w:p w14:paraId="3487352C" w14:textId="77777777" w:rsidR="00082806" w:rsidRPr="00082806" w:rsidRDefault="00082806" w:rsidP="00082806">
                            <w:pPr>
                              <w:rPr>
                                <w:lang w:val="fr-FR"/>
                              </w:rPr>
                            </w:pPr>
                          </w:p>
                          <w:p w14:paraId="66F228FC" w14:textId="2E4F6508"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ب</w:t>
                            </w:r>
                            <w:r w:rsidR="00086E8A" w:rsidRPr="00FC3D64">
                              <w:rPr>
                                <w:rFonts w:cs="Traditional Arabic" w:hint="cs"/>
                                <w:color w:val="0000FF"/>
                                <w:sz w:val="44"/>
                                <w:szCs w:val="44"/>
                                <w:rtl/>
                              </w:rPr>
                              <w:t>كلية علوم الأرض والهندسة المعمارية</w:t>
                            </w:r>
                          </w:p>
                          <w:p w14:paraId="731B3425" w14:textId="77777777" w:rsidR="00813FB6" w:rsidRDefault="0081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5D4084" id="Rectangle 75" o:spid="_x0000_s1026" style="position:absolute;left:0;text-align:left;margin-left:64.95pt;margin-top:-7.4pt;width:577.0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" fillcolor="white [3201]" strokecolor="#c0504d [3205]" strokeweight="2pt">
                <v:textbox>
                  <w:txbxContent>
                    <w:p w14:paraId="0AA31BD0" w14:textId="77777777"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البـطـاقة الـفـنيـة</w:t>
                      </w:r>
                    </w:p>
                    <w:p w14:paraId="1E4BBB32" w14:textId="77777777" w:rsidR="00C76D27" w:rsidRDefault="00C76D27" w:rsidP="00E646E0">
                      <w:pPr>
                        <w:keepNext/>
                        <w:spacing w:before="120"/>
                        <w:ind w:left="720" w:hanging="360"/>
                        <w:jc w:val="center"/>
                        <w:outlineLvl w:val="0"/>
                        <w:rPr>
                          <w:rFonts w:cs="Traditional Arabic"/>
                          <w:b/>
                          <w:bCs/>
                          <w:color w:val="0000FF"/>
                          <w:sz w:val="44"/>
                          <w:szCs w:val="44"/>
                        </w:rPr>
                      </w:pPr>
                      <w:r w:rsidRPr="00C76D27">
                        <w:rPr>
                          <w:rFonts w:cs="Traditional Arabic"/>
                          <w:b/>
                          <w:bCs/>
                          <w:color w:val="0000FF"/>
                          <w:sz w:val="44"/>
                          <w:szCs w:val="44"/>
                          <w:rtl/>
                        </w:rPr>
                        <w:t>تكوين احترافي في الهندسة المعمارية والتصميم الداخلي</w:t>
                      </w:r>
                    </w:p>
                    <w:p w14:paraId="420FA410" w14:textId="259D4ACF" w:rsidR="00082806" w:rsidRPr="00082806" w:rsidRDefault="00082806" w:rsidP="00E646E0">
                      <w:pPr>
                        <w:keepNext/>
                        <w:spacing w:before="120"/>
                        <w:ind w:left="720" w:hanging="360"/>
                        <w:jc w:val="center"/>
                        <w:outlineLvl w:val="0"/>
                        <w:rPr>
                          <w:rFonts w:cs="Traditional Arabic"/>
                          <w:b/>
                          <w:bCs/>
                          <w:color w:val="0000FF"/>
                          <w:sz w:val="44"/>
                          <w:szCs w:val="44"/>
                          <w:lang w:val="fr-FR"/>
                        </w:rPr>
                      </w:pPr>
                      <w:r w:rsidRPr="00082806">
                        <w:rPr>
                          <w:rFonts w:cs="Traditional Arabic"/>
                          <w:b/>
                          <w:bCs/>
                          <w:color w:val="0000FF"/>
                          <w:sz w:val="44"/>
                          <w:szCs w:val="44"/>
                          <w:lang w:val="fr-FR"/>
                        </w:rPr>
                        <w:t xml:space="preserve">Licence professionnelle en </w:t>
                      </w:r>
                      <w:r w:rsidR="00E646E0" w:rsidRPr="00E646E0">
                        <w:rPr>
                          <w:rFonts w:cs="Traditional Arabic"/>
                          <w:b/>
                          <w:bCs/>
                          <w:color w:val="0000FF"/>
                          <w:sz w:val="44"/>
                          <w:szCs w:val="44"/>
                          <w:lang w:val="fr-FR"/>
                        </w:rPr>
                        <w:t>Formation professionnalisante en architecture et design d'intérieur</w:t>
                      </w:r>
                    </w:p>
                    <w:p w14:paraId="3487352C" w14:textId="77777777" w:rsidR="00082806" w:rsidRPr="00082806" w:rsidRDefault="00082806" w:rsidP="00082806">
                      <w:pPr>
                        <w:rPr>
                          <w:lang w:val="fr-FR"/>
                        </w:rPr>
                      </w:pPr>
                    </w:p>
                    <w:p w14:paraId="66F228FC" w14:textId="2E4F6508" w:rsidR="00813FB6" w:rsidRPr="00FC3D64" w:rsidRDefault="00813FB6" w:rsidP="00813FB6">
                      <w:pPr>
                        <w:pStyle w:val="Titre3"/>
                        <w:rPr>
                          <w:rFonts w:cs="Traditional Arabic"/>
                          <w:color w:val="0000FF"/>
                          <w:sz w:val="44"/>
                          <w:szCs w:val="44"/>
                          <w:rtl/>
                        </w:rPr>
                      </w:pPr>
                      <w:r w:rsidRPr="00FC3D64">
                        <w:rPr>
                          <w:rFonts w:cs="Traditional Arabic" w:hint="cs"/>
                          <w:color w:val="0000FF"/>
                          <w:sz w:val="44"/>
                          <w:szCs w:val="44"/>
                          <w:rtl/>
                        </w:rPr>
                        <w:t>ب</w:t>
                      </w:r>
                      <w:r w:rsidR="00086E8A" w:rsidRPr="00FC3D64">
                        <w:rPr>
                          <w:rFonts w:cs="Traditional Arabic" w:hint="cs"/>
                          <w:color w:val="0000FF"/>
                          <w:sz w:val="44"/>
                          <w:szCs w:val="44"/>
                          <w:rtl/>
                        </w:rPr>
                        <w:t>كلية علوم الأرض والهندسة المعمارية</w:t>
                      </w:r>
                    </w:p>
                    <w:p w14:paraId="731B3425" w14:textId="77777777" w:rsidR="00813FB6" w:rsidRDefault="00813FB6"/>
                  </w:txbxContent>
                </v:textbox>
              </v:rect>
            </w:pict>
          </mc:Fallback>
        </mc:AlternateContent>
      </w:r>
    </w:p>
    <w:p w14:paraId="6C286737" w14:textId="77777777" w:rsidR="00A53A5C" w:rsidRPr="00EC1BD2" w:rsidRDefault="00A53A5C" w:rsidP="00EC1BD2">
      <w:pPr>
        <w:jc w:val="center"/>
        <w:rPr>
          <w:rFonts w:cs="Traditional Arabic"/>
          <w:b/>
          <w:bCs/>
          <w:color w:val="FF0000"/>
          <w:sz w:val="36"/>
          <w:szCs w:val="36"/>
          <w:rtl/>
        </w:rPr>
      </w:pPr>
    </w:p>
    <w:p w14:paraId="650CA62F" w14:textId="77777777" w:rsidR="00813FB6" w:rsidRPr="00EC1BD2" w:rsidRDefault="00813FB6" w:rsidP="00EC1BD2">
      <w:pPr>
        <w:jc w:val="center"/>
        <w:rPr>
          <w:rFonts w:cs="Traditional Arabic"/>
          <w:b/>
          <w:bCs/>
          <w:color w:val="FF0000"/>
          <w:sz w:val="36"/>
          <w:szCs w:val="36"/>
          <w:rtl/>
        </w:rPr>
      </w:pPr>
    </w:p>
    <w:p w14:paraId="315046FF" w14:textId="77777777" w:rsidR="00A53A5C" w:rsidRPr="00EC1BD2" w:rsidRDefault="00A53A5C" w:rsidP="00EC1BD2">
      <w:pPr>
        <w:jc w:val="lowKashida"/>
        <w:rPr>
          <w:rFonts w:cs="Traditional Arabic"/>
          <w:b/>
          <w:bCs/>
          <w:sz w:val="36"/>
          <w:szCs w:val="36"/>
          <w:rtl/>
        </w:rPr>
      </w:pPr>
    </w:p>
    <w:bookmarkEnd w:id="0"/>
    <w:p w14:paraId="37588263" w14:textId="77777777" w:rsidR="0091595C" w:rsidRDefault="0091595C" w:rsidP="0091595C">
      <w:pPr>
        <w:shd w:val="clear" w:color="auto" w:fill="FFFFFF"/>
        <w:jc w:val="center"/>
        <w:textAlignment w:val="baseline"/>
        <w:outlineLvl w:val="3"/>
        <w:rPr>
          <w:rFonts w:ascii="inherit" w:hAnsi="inherit"/>
          <w:b/>
          <w:bCs/>
          <w:color w:val="0000FF"/>
          <w:sz w:val="30"/>
          <w:szCs w:val="30"/>
          <w:bdr w:val="none" w:sz="0" w:space="0" w:color="auto" w:frame="1"/>
          <w:lang w:eastAsia="fr-FR"/>
        </w:rPr>
      </w:pPr>
    </w:p>
    <w:p w14:paraId="598EF0C5" w14:textId="77777777" w:rsidR="0091595C" w:rsidRDefault="0091595C" w:rsidP="0091595C">
      <w:pPr>
        <w:shd w:val="clear" w:color="auto" w:fill="FFFFFF"/>
        <w:textAlignment w:val="baseline"/>
        <w:outlineLvl w:val="3"/>
        <w:rPr>
          <w:rFonts w:ascii="inherit" w:hAnsi="inherit"/>
          <w:b/>
          <w:bCs/>
          <w:color w:val="0000FF"/>
          <w:sz w:val="30"/>
          <w:szCs w:val="30"/>
          <w:bdr w:val="none" w:sz="0" w:space="0" w:color="auto" w:frame="1"/>
          <w:lang w:eastAsia="fr-FR"/>
        </w:rPr>
      </w:pPr>
    </w:p>
    <w:p w14:paraId="15197E99" w14:textId="460B9754" w:rsidR="00E646E0" w:rsidRDefault="00E646E0" w:rsidP="00FC3D64">
      <w:pPr>
        <w:shd w:val="clear" w:color="auto" w:fill="FFFFFF"/>
        <w:spacing w:after="120"/>
        <w:textAlignment w:val="baseline"/>
        <w:outlineLvl w:val="3"/>
        <w:rPr>
          <w:rFonts w:ascii="inherit" w:hAnsi="inherit"/>
          <w:b/>
          <w:bCs/>
          <w:color w:val="0000FF"/>
          <w:sz w:val="36"/>
          <w:szCs w:val="36"/>
          <w:bdr w:val="none" w:sz="0" w:space="0" w:color="auto" w:frame="1"/>
          <w:lang w:eastAsia="fr-FR"/>
        </w:rPr>
      </w:pPr>
    </w:p>
    <w:p w14:paraId="250A8678" w14:textId="77777777" w:rsidR="00E646E0" w:rsidRDefault="00E646E0" w:rsidP="00FC3D64">
      <w:pPr>
        <w:shd w:val="clear" w:color="auto" w:fill="FFFFFF"/>
        <w:spacing w:after="120"/>
        <w:textAlignment w:val="baseline"/>
        <w:outlineLvl w:val="3"/>
        <w:rPr>
          <w:rFonts w:ascii="inherit" w:hAnsi="inherit"/>
          <w:b/>
          <w:bCs/>
          <w:color w:val="0000FF"/>
          <w:sz w:val="36"/>
          <w:szCs w:val="36"/>
          <w:bdr w:val="none" w:sz="0" w:space="0" w:color="auto" w:frame="1"/>
          <w:lang w:eastAsia="fr-FR"/>
        </w:rPr>
      </w:pPr>
    </w:p>
    <w:p w14:paraId="1B6D521A" w14:textId="483F2DCB" w:rsidR="00A32632" w:rsidRPr="00FC3D64" w:rsidRDefault="00A32632" w:rsidP="00FC3D64">
      <w:pPr>
        <w:shd w:val="clear" w:color="auto" w:fill="FFFFFF"/>
        <w:spacing w:after="120"/>
        <w:textAlignment w:val="baseline"/>
        <w:outlineLvl w:val="3"/>
        <w:rPr>
          <w:rFonts w:ascii="inherit" w:hAnsi="inherit"/>
          <w:b/>
          <w:bCs/>
          <w:color w:val="0000FF"/>
          <w:sz w:val="36"/>
          <w:szCs w:val="36"/>
          <w:bdr w:val="none" w:sz="0" w:space="0" w:color="auto" w:frame="1"/>
          <w:rtl/>
          <w:lang w:eastAsia="fr-FR"/>
        </w:rPr>
      </w:pPr>
      <w:r w:rsidRPr="00FC3D64">
        <w:rPr>
          <w:rFonts w:ascii="inherit" w:hAnsi="inherit"/>
          <w:b/>
          <w:bCs/>
          <w:color w:val="0000FF"/>
          <w:sz w:val="36"/>
          <w:szCs w:val="36"/>
          <w:bdr w:val="none" w:sz="0" w:space="0" w:color="auto" w:frame="1"/>
          <w:rtl/>
          <w:lang w:eastAsia="fr-FR"/>
        </w:rPr>
        <w:t>الديباجة</w:t>
      </w:r>
    </w:p>
    <w:p w14:paraId="41973ECE" w14:textId="19C7175A" w:rsidR="00D86116" w:rsidRPr="00D86116" w:rsidRDefault="007C65C7" w:rsidP="00D86116">
      <w:pPr>
        <w:shd w:val="clear" w:color="auto" w:fill="FFFFFF"/>
        <w:textAlignment w:val="baseline"/>
        <w:rPr>
          <w:rFonts w:ascii="Lato" w:hAnsi="Lato"/>
          <w:sz w:val="28"/>
          <w:szCs w:val="28"/>
          <w:rtl/>
          <w:lang w:eastAsia="fr-FR"/>
        </w:rPr>
      </w:pPr>
      <w:r>
        <w:rPr>
          <w:rFonts w:cs="Traditional Arabic"/>
          <w:b/>
          <w:bCs/>
          <w:noProof/>
          <w:sz w:val="36"/>
          <w:szCs w:val="36"/>
          <w:lang w:val="fr-FR" w:eastAsia="fr-FR" w:bidi="ar-SA"/>
        </w:rPr>
        <w:drawing>
          <wp:anchor distT="0" distB="0" distL="114300" distR="114300" simplePos="0" relativeHeight="251673600" behindDoc="0" locked="1" layoutInCell="1" allowOverlap="1" wp14:anchorId="3264BB91" wp14:editId="552D3181">
            <wp:simplePos x="0" y="0"/>
            <wp:positionH relativeFrom="column">
              <wp:posOffset>-254635</wp:posOffset>
            </wp:positionH>
            <wp:positionV relativeFrom="paragraph">
              <wp:posOffset>109220</wp:posOffset>
            </wp:positionV>
            <wp:extent cx="2671200" cy="3780000"/>
            <wp:effectExtent l="0" t="0" r="0" b="0"/>
            <wp:wrapSquare wrapText="bothSides"/>
            <wp:docPr id="7456334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33475" name="Image 7456334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200" cy="3780000"/>
                    </a:xfrm>
                    <a:prstGeom prst="rect">
                      <a:avLst/>
                    </a:prstGeom>
                  </pic:spPr>
                </pic:pic>
              </a:graphicData>
            </a:graphic>
            <wp14:sizeRelH relativeFrom="margin">
              <wp14:pctWidth>0</wp14:pctWidth>
            </wp14:sizeRelH>
            <wp14:sizeRelV relativeFrom="margin">
              <wp14:pctHeight>0</wp14:pctHeight>
            </wp14:sizeRelV>
          </wp:anchor>
        </w:drawing>
      </w:r>
      <w:r w:rsidR="00D86116" w:rsidRPr="00D86116">
        <w:rPr>
          <w:rFonts w:ascii="Lato" w:hAnsi="Lato"/>
          <w:sz w:val="28"/>
          <w:szCs w:val="28"/>
          <w:rtl/>
          <w:lang w:eastAsia="fr-FR"/>
        </w:rPr>
        <w:t>العمارة الداخلية هي فن التعامل مع الفراغ المعماري بجميع أبعاده بحيث يتم استغلال جميع معطيات التصميم على أساس وظيفي وجمالي. وهو يعني الإلمام الواسع بالعناصر المعمارية وتفاصيلها وخاصةً تصميماتها الداخلية. كما أنها المعرفة الكافية بالأثاث وأبعاده وتوزيعه في الفراغات الداخلية حسب أهدافها: كيفية استخدامه واختياره ووضعه في المكان المناسب، وكذلك معرفة العناصر المكملة اللازمة للتصميم كالإضاءة والألوان والتوزيع والتنسيق والعديد من الملحقات الأخرى اللازمة للفراغ لحل مشاكل الفراغ وسهولة استخدام الأثاث والتجهيزات بما يجعل الفراغ مريحاً وممتعاً ومبهجاً. والهدف من العمارة الداخلية هو تحسين المساحة المعمارية وتحسين ظروف المعيشة داخلها، وذلك بهدف تطوير دور المهندس المعماري الداخلي أثناء عملية التصميم المعماري وتنفيذ المشروع، وبالتالي تطوير تصميمه الداخلي وفقًا للأنشطة التي تتم فيه لتلبية احتياجاتهم الخاصة.</w:t>
      </w:r>
    </w:p>
    <w:p w14:paraId="625147AA" w14:textId="7D32DD7E" w:rsidR="00D86116" w:rsidRPr="00D86116" w:rsidRDefault="00D86116" w:rsidP="00D86116">
      <w:pPr>
        <w:shd w:val="clear" w:color="auto" w:fill="FFFFFF"/>
        <w:textAlignment w:val="baseline"/>
        <w:rPr>
          <w:rFonts w:ascii="Lato" w:hAnsi="Lato"/>
          <w:sz w:val="28"/>
          <w:szCs w:val="28"/>
          <w:rtl/>
          <w:lang w:eastAsia="fr-FR"/>
        </w:rPr>
      </w:pPr>
      <w:r w:rsidRPr="00D86116">
        <w:rPr>
          <w:rFonts w:ascii="Lato" w:hAnsi="Lato"/>
          <w:sz w:val="28"/>
          <w:szCs w:val="28"/>
          <w:rtl/>
          <w:lang w:eastAsia="fr-FR"/>
        </w:rPr>
        <w:t>وبالتالي فإن كل الإنتاج المعماري الداخلي مدعو إلى تطوير التصميم الداخلي وفقًا للأنشطة المنفذة هناك لتلبية احتياجاتهم الخاصة. وبالتالي فإن أي تدخل يتطلب تدخل محترف يتمتع بالمهارات المناسبة لممارسة مهنة المهندس المعماري الداخلي.</w:t>
      </w:r>
    </w:p>
    <w:p w14:paraId="7320EF89" w14:textId="2DEB2875" w:rsidR="00A32632" w:rsidRPr="00D86116" w:rsidRDefault="00D86116" w:rsidP="00D86116">
      <w:pPr>
        <w:shd w:val="clear" w:color="auto" w:fill="FFFFFF"/>
        <w:textAlignment w:val="baseline"/>
        <w:rPr>
          <w:rFonts w:ascii="Lato" w:hAnsi="Lato"/>
          <w:sz w:val="28"/>
          <w:szCs w:val="28"/>
          <w:rtl/>
          <w:lang w:eastAsia="fr-FR"/>
        </w:rPr>
      </w:pPr>
      <w:r w:rsidRPr="00D86116">
        <w:rPr>
          <w:rFonts w:ascii="Lato" w:hAnsi="Lato"/>
          <w:sz w:val="28"/>
          <w:szCs w:val="28"/>
          <w:rtl/>
          <w:lang w:eastAsia="fr-FR"/>
        </w:rPr>
        <w:t>من خلال التلاعب بالأحجام والألوان والمواد والضوء، يقوم مصممو الديكور الداخلي برسم وتصميم الديكورات الداخلية العامة والخاصة. ويقومون بتطوير مشاريعهم بما يتماشى مع اختيارات العميل (تاجر تجزئة، فرد خاص، صانع أفلام، فنان، صناعي، إلخ) ووفقاً للميزانية والقيود الفنية والتقنية والتنظيمية في كثير من الأحيان. ويهتمون بأدق التفاصيل (الصنابير، والمقابض، وألواح الحواف، وما إلى ذلك). كما يمكنهم أيضاً تصميم الأثاث. يقوم مصممو الديكور الداخلي بتصميم وهيكلة المساحات العامة (المكاتب والمتاجر والمتاحف) أو المساحات الخاصة (الشقق والمنازل)، والتلاعب بالأحجام والإضاءة والمواد.</w:t>
      </w:r>
    </w:p>
    <w:p w14:paraId="5192476A" w14:textId="77777777" w:rsidR="00A32632" w:rsidRPr="00A32632" w:rsidRDefault="00A32632" w:rsidP="00A32632">
      <w:pPr>
        <w:shd w:val="clear" w:color="auto" w:fill="FFFFFF"/>
        <w:textAlignment w:val="baseline"/>
        <w:outlineLvl w:val="3"/>
        <w:rPr>
          <w:rFonts w:ascii="Lato" w:hAnsi="Lato"/>
          <w:color w:val="555555"/>
          <w:sz w:val="27"/>
          <w:szCs w:val="27"/>
          <w:rtl/>
          <w:lang w:eastAsia="fr-FR"/>
        </w:rPr>
      </w:pPr>
    </w:p>
    <w:p w14:paraId="687556AC" w14:textId="4F45E99A" w:rsidR="00023FB2" w:rsidRPr="00023FB2" w:rsidRDefault="00BD646B" w:rsidP="00023FB2">
      <w:pPr>
        <w:jc w:val="both"/>
        <w:rPr>
          <w:rFonts w:ascii="inherit" w:hAnsi="inherit"/>
          <w:b/>
          <w:bCs/>
          <w:color w:val="0000FF"/>
          <w:sz w:val="36"/>
          <w:szCs w:val="36"/>
          <w:bdr w:val="none" w:sz="0" w:space="0" w:color="auto" w:frame="1"/>
          <w:rtl/>
          <w:lang w:eastAsia="fr-FR"/>
        </w:rPr>
      </w:pPr>
      <w:r>
        <w:rPr>
          <w:rFonts w:ascii="inherit" w:hAnsi="inherit"/>
          <w:b/>
          <w:bCs/>
          <w:noProof/>
          <w:color w:val="0000FF"/>
          <w:sz w:val="36"/>
          <w:szCs w:val="36"/>
          <w:bdr w:val="none" w:sz="0" w:space="0" w:color="auto" w:frame="1"/>
          <w:rtl/>
          <w:lang w:val="fr-FR" w:eastAsia="fr-FR" w:bidi="ar-SA"/>
        </w:rPr>
        <w:drawing>
          <wp:anchor distT="0" distB="0" distL="114300" distR="114300" simplePos="0" relativeHeight="251674624" behindDoc="0" locked="1" layoutInCell="1" allowOverlap="1" wp14:anchorId="2D90A9D6" wp14:editId="21466D40">
            <wp:simplePos x="0" y="0"/>
            <wp:positionH relativeFrom="column">
              <wp:posOffset>-251460</wp:posOffset>
            </wp:positionH>
            <wp:positionV relativeFrom="paragraph">
              <wp:posOffset>258445</wp:posOffset>
            </wp:positionV>
            <wp:extent cx="3715200" cy="1915200"/>
            <wp:effectExtent l="0" t="0" r="0" b="8890"/>
            <wp:wrapSquare wrapText="bothSides"/>
            <wp:docPr id="19228064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06485" name="Image 19228064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5200" cy="1915200"/>
                    </a:xfrm>
                    <a:prstGeom prst="rect">
                      <a:avLst/>
                    </a:prstGeom>
                  </pic:spPr>
                </pic:pic>
              </a:graphicData>
            </a:graphic>
            <wp14:sizeRelH relativeFrom="margin">
              <wp14:pctWidth>0</wp14:pctWidth>
            </wp14:sizeRelH>
            <wp14:sizeRelV relativeFrom="margin">
              <wp14:pctHeight>0</wp14:pctHeight>
            </wp14:sizeRelV>
          </wp:anchor>
        </w:drawing>
      </w:r>
      <w:r w:rsidR="00023FB2" w:rsidRPr="00023FB2">
        <w:rPr>
          <w:rFonts w:ascii="inherit" w:hAnsi="inherit"/>
          <w:b/>
          <w:bCs/>
          <w:color w:val="0000FF"/>
          <w:sz w:val="36"/>
          <w:szCs w:val="36"/>
          <w:bdr w:val="none" w:sz="0" w:space="0" w:color="auto" w:frame="1"/>
          <w:rtl/>
          <w:lang w:eastAsia="fr-FR"/>
        </w:rPr>
        <w:t>ج - التخصصات والمهارات المهنية المستهدفة</w:t>
      </w:r>
    </w:p>
    <w:p w14:paraId="788AECC8" w14:textId="51738F57" w:rsidR="00023FB2" w:rsidRPr="00023FB2" w:rsidRDefault="00023FB2" w:rsidP="00023FB2">
      <w:pPr>
        <w:shd w:val="clear" w:color="auto" w:fill="FFFFFF"/>
        <w:textAlignment w:val="baseline"/>
        <w:rPr>
          <w:rFonts w:ascii="Lato" w:hAnsi="Lato"/>
          <w:sz w:val="28"/>
          <w:szCs w:val="28"/>
          <w:rtl/>
          <w:lang w:eastAsia="fr-FR"/>
        </w:rPr>
      </w:pPr>
      <w:r w:rsidRPr="00023FB2">
        <w:rPr>
          <w:rFonts w:ascii="Lato" w:hAnsi="Lato"/>
          <w:sz w:val="28"/>
          <w:szCs w:val="28"/>
          <w:rtl/>
          <w:lang w:eastAsia="fr-FR"/>
        </w:rPr>
        <w:t xml:space="preserve">يتماشى البرنامج المقترح من قبل قسم الهندسة المعمارية بكلية علوم الأرض والهندسة المعمارية بأم البواقي مع السياسة الوطنية من خلال التحول من النظام التقليدي إلى نظام الـ </w:t>
      </w:r>
      <w:r w:rsidRPr="00023FB2">
        <w:rPr>
          <w:rFonts w:ascii="Lato" w:hAnsi="Lato"/>
          <w:sz w:val="28"/>
          <w:szCs w:val="28"/>
          <w:lang w:eastAsia="fr-FR"/>
        </w:rPr>
        <w:t>LMD</w:t>
      </w:r>
      <w:r w:rsidRPr="00023FB2">
        <w:rPr>
          <w:rFonts w:ascii="Lato" w:hAnsi="Lato"/>
          <w:sz w:val="28"/>
          <w:szCs w:val="28"/>
          <w:rtl/>
          <w:lang w:eastAsia="fr-FR"/>
        </w:rPr>
        <w:t>.</w:t>
      </w:r>
    </w:p>
    <w:p w14:paraId="04AAAEDE" w14:textId="2C7C3531" w:rsidR="00023FB2" w:rsidRPr="00023FB2" w:rsidRDefault="00023FB2" w:rsidP="00023FB2">
      <w:pPr>
        <w:shd w:val="clear" w:color="auto" w:fill="FFFFFF"/>
        <w:textAlignment w:val="baseline"/>
        <w:rPr>
          <w:rFonts w:ascii="Lato" w:hAnsi="Lato"/>
          <w:sz w:val="28"/>
          <w:szCs w:val="28"/>
          <w:rtl/>
          <w:lang w:eastAsia="fr-FR"/>
        </w:rPr>
      </w:pPr>
      <w:r w:rsidRPr="00023FB2">
        <w:rPr>
          <w:rFonts w:ascii="Lato" w:hAnsi="Lato"/>
          <w:sz w:val="28"/>
          <w:szCs w:val="28"/>
          <w:rtl/>
          <w:lang w:eastAsia="fr-FR"/>
        </w:rPr>
        <w:t>ويفتح هذا الأخير آفاقًا لتحديث المعرفة وتنظيم المقررات الدراسية بما يتماشى مع المتطلبات الجديدة لتحديث طرق التدريس. تتناسب المهارات التي تستهدفها هذه الدورة التدريبية بشكل أفضل مع احتياجات سوق العمل، والتي غالبًا ما تكون منفصلة عن واقع المجال.</w:t>
      </w:r>
    </w:p>
    <w:p w14:paraId="23033804" w14:textId="5733006F" w:rsidR="00023FB2" w:rsidRPr="00023FB2" w:rsidRDefault="00023FB2" w:rsidP="00023FB2">
      <w:pPr>
        <w:shd w:val="clear" w:color="auto" w:fill="FFFFFF"/>
        <w:textAlignment w:val="baseline"/>
        <w:rPr>
          <w:rFonts w:ascii="Lato" w:hAnsi="Lato"/>
          <w:sz w:val="28"/>
          <w:szCs w:val="28"/>
          <w:rtl/>
          <w:lang w:eastAsia="fr-FR"/>
        </w:rPr>
      </w:pPr>
      <w:r w:rsidRPr="00023FB2">
        <w:rPr>
          <w:rFonts w:ascii="Lato" w:hAnsi="Lato"/>
          <w:sz w:val="28"/>
          <w:szCs w:val="28"/>
          <w:rtl/>
          <w:lang w:eastAsia="fr-FR"/>
        </w:rPr>
        <w:t>ويتميز الملف المقترح بالمرونة في المسار التدريبي، وقابلية التوسع في البرامج، وخلق روابط وثيقة بين التدريس والبحث وممارسة المهنة، وإمكانية بناء وظائف مهنية متعددة.</w:t>
      </w:r>
    </w:p>
    <w:p w14:paraId="4D88C23A" w14:textId="3411671A" w:rsidR="00023FB2" w:rsidRPr="00023FB2" w:rsidRDefault="00BD646B" w:rsidP="00023FB2">
      <w:pPr>
        <w:shd w:val="clear" w:color="auto" w:fill="FFFFFF"/>
        <w:textAlignment w:val="baseline"/>
        <w:rPr>
          <w:rFonts w:ascii="Lato" w:hAnsi="Lato"/>
          <w:sz w:val="28"/>
          <w:szCs w:val="28"/>
          <w:rtl/>
          <w:lang w:eastAsia="fr-FR"/>
        </w:rPr>
      </w:pPr>
      <w:r>
        <w:rPr>
          <w:rFonts w:ascii="Lato" w:hAnsi="Lato"/>
          <w:noProof/>
          <w:sz w:val="28"/>
          <w:szCs w:val="28"/>
          <w:rtl/>
          <w:lang w:val="fr-FR" w:eastAsia="fr-FR" w:bidi="ar-SA"/>
        </w:rPr>
        <w:drawing>
          <wp:anchor distT="0" distB="0" distL="114300" distR="114300" simplePos="0" relativeHeight="251675648" behindDoc="0" locked="1" layoutInCell="1" allowOverlap="1" wp14:anchorId="28CA297F" wp14:editId="09F89A5C">
            <wp:simplePos x="0" y="0"/>
            <wp:positionH relativeFrom="column">
              <wp:posOffset>-251460</wp:posOffset>
            </wp:positionH>
            <wp:positionV relativeFrom="paragraph">
              <wp:posOffset>234315</wp:posOffset>
            </wp:positionV>
            <wp:extent cx="3715200" cy="2545200"/>
            <wp:effectExtent l="0" t="0" r="0" b="7620"/>
            <wp:wrapSquare wrapText="bothSides"/>
            <wp:docPr id="4732347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3479" name="Image 47323479"/>
                    <pic:cNvPicPr/>
                  </pic:nvPicPr>
                  <pic:blipFill rotWithShape="1">
                    <a:blip r:embed="rId10" cstate="print">
                      <a:extLst>
                        <a:ext uri="{28A0092B-C50C-407E-A947-70E740481C1C}">
                          <a14:useLocalDpi xmlns:a14="http://schemas.microsoft.com/office/drawing/2010/main" val="0"/>
                        </a:ext>
                      </a:extLst>
                    </a:blip>
                    <a:srcRect l="22659" t="7008" r="21641" b="10343"/>
                    <a:stretch/>
                  </pic:blipFill>
                  <pic:spPr bwMode="auto">
                    <a:xfrm>
                      <a:off x="0" y="0"/>
                      <a:ext cx="3715200" cy="254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3FB2" w:rsidRPr="00023FB2">
        <w:rPr>
          <w:rFonts w:ascii="Lato" w:hAnsi="Lato"/>
          <w:sz w:val="28"/>
          <w:szCs w:val="28"/>
          <w:rtl/>
          <w:lang w:eastAsia="fr-FR"/>
        </w:rPr>
        <w:t>أخيرًا، يهدف مقترح هذا البرنامج إلى الاستجابة للتوقعات العديدة للمجتمع الأكاديمي التي تم التعبير عنها خلال العقدين الماضيين.</w:t>
      </w:r>
    </w:p>
    <w:p w14:paraId="128FFD92" w14:textId="2DFD44FF" w:rsidR="00023FB2" w:rsidRPr="00023FB2" w:rsidRDefault="00023FB2" w:rsidP="00023FB2">
      <w:pPr>
        <w:shd w:val="clear" w:color="auto" w:fill="FFFFFF"/>
        <w:textAlignment w:val="baseline"/>
        <w:rPr>
          <w:rFonts w:ascii="Lato" w:hAnsi="Lato"/>
          <w:sz w:val="28"/>
          <w:szCs w:val="28"/>
          <w:rtl/>
          <w:lang w:eastAsia="fr-FR"/>
        </w:rPr>
      </w:pPr>
    </w:p>
    <w:p w14:paraId="38FF7CFE" w14:textId="2D1AC334" w:rsidR="00023FB2" w:rsidRPr="00023FB2" w:rsidRDefault="00023FB2" w:rsidP="00023FB2">
      <w:pPr>
        <w:jc w:val="both"/>
        <w:rPr>
          <w:rFonts w:ascii="inherit" w:hAnsi="inherit"/>
          <w:b/>
          <w:bCs/>
          <w:color w:val="0000FF"/>
          <w:sz w:val="36"/>
          <w:szCs w:val="36"/>
          <w:bdr w:val="none" w:sz="0" w:space="0" w:color="auto" w:frame="1"/>
          <w:rtl/>
          <w:lang w:eastAsia="fr-FR"/>
        </w:rPr>
      </w:pPr>
      <w:r w:rsidRPr="00023FB2">
        <w:rPr>
          <w:rFonts w:ascii="inherit" w:hAnsi="inherit"/>
          <w:b/>
          <w:bCs/>
          <w:color w:val="0000FF"/>
          <w:sz w:val="36"/>
          <w:szCs w:val="36"/>
          <w:bdr w:val="none" w:sz="0" w:space="0" w:color="auto" w:frame="1"/>
          <w:rtl/>
          <w:lang w:eastAsia="fr-FR"/>
        </w:rPr>
        <w:t>د- الإمكانات الإقليمية والوطنية لتوظيف الخريجين</w:t>
      </w:r>
    </w:p>
    <w:p w14:paraId="3C6AE388" w14:textId="64203FA9"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إن إمكانات التوظيف كبيرة جداً في مجال العمارة الداخلية، نظراً للتوجه العام تقريباً للممارسات المعمارية ووكالات التطوير العقاري وجميع الوكالات أو الشركات المرتبطة بقطاع البناء نحو التكنولوجيا الرقمية.</w:t>
      </w:r>
    </w:p>
    <w:p w14:paraId="6BA7A847" w14:textId="78F3DDA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والأكثر من ذلك، فإن أصالة ومرونة هذا التدريب المهني تمنحه مجموعة واسعة من المنافذ المهنية، بدءًا من الممارسات المعمارية ووكالات التطوير العقاري وجميع مقدمي الخدمات في قطاع البناء. ولا ننسى مصنعي معدات البناء (الأثاث والمطابخ المجهزة وغيرها).</w:t>
      </w:r>
    </w:p>
    <w:p w14:paraId="19EF9DC3" w14:textId="489C99FA" w:rsidR="00023FB2" w:rsidRPr="00023FB2" w:rsidRDefault="00023FB2" w:rsidP="00023FB2">
      <w:pPr>
        <w:jc w:val="both"/>
        <w:rPr>
          <w:rFonts w:ascii="inherit" w:hAnsi="inherit"/>
          <w:b/>
          <w:bCs/>
          <w:color w:val="0000FF"/>
          <w:sz w:val="36"/>
          <w:szCs w:val="36"/>
          <w:bdr w:val="none" w:sz="0" w:space="0" w:color="auto" w:frame="1"/>
          <w:rtl/>
          <w:lang w:eastAsia="fr-FR"/>
        </w:rPr>
      </w:pPr>
    </w:p>
    <w:p w14:paraId="1883FFF5" w14:textId="745D3AAB" w:rsidR="00023FB2" w:rsidRPr="00023FB2" w:rsidRDefault="00023FB2" w:rsidP="00023FB2">
      <w:pPr>
        <w:jc w:val="both"/>
        <w:rPr>
          <w:rFonts w:ascii="inherit" w:hAnsi="inherit"/>
          <w:b/>
          <w:bCs/>
          <w:color w:val="0000FF"/>
          <w:sz w:val="36"/>
          <w:szCs w:val="36"/>
          <w:bdr w:val="none" w:sz="0" w:space="0" w:color="auto" w:frame="1"/>
          <w:rtl/>
          <w:lang w:eastAsia="fr-FR"/>
        </w:rPr>
      </w:pPr>
      <w:r w:rsidRPr="00023FB2">
        <w:rPr>
          <w:rFonts w:ascii="inherit" w:hAnsi="inherit"/>
          <w:b/>
          <w:bCs/>
          <w:color w:val="0000FF"/>
          <w:sz w:val="36"/>
          <w:szCs w:val="36"/>
          <w:bdr w:val="none" w:sz="0" w:space="0" w:color="auto" w:frame="1"/>
          <w:rtl/>
          <w:lang w:eastAsia="fr-FR"/>
        </w:rPr>
        <w:t>هـ - بوابات إلى تخصصات أخرى</w:t>
      </w:r>
    </w:p>
    <w:p w14:paraId="1AFF23BC" w14:textId="0776C7BC"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لم يتم بعد إنشاء بوابات لتخصصات أخرى. ومع ذلك، تجدر الإشارة إلى أنه في نفس المجال، قد تؤدي المواد في الوحدات المنهجية والمتعددة التخصصات إلى رسملة الاعتمادات وقابليتها للتحويل.</w:t>
      </w:r>
    </w:p>
    <w:p w14:paraId="490AB2F2" w14:textId="52F0B95C" w:rsidR="00023FB2" w:rsidRPr="00023FB2" w:rsidRDefault="00023FB2" w:rsidP="00023FB2">
      <w:pPr>
        <w:jc w:val="both"/>
        <w:rPr>
          <w:rFonts w:ascii="inherit" w:hAnsi="inherit"/>
          <w:b/>
          <w:bCs/>
          <w:color w:val="0000FF"/>
          <w:sz w:val="36"/>
          <w:szCs w:val="36"/>
          <w:bdr w:val="none" w:sz="0" w:space="0" w:color="auto" w:frame="1"/>
          <w:rtl/>
          <w:lang w:eastAsia="fr-FR"/>
        </w:rPr>
      </w:pPr>
    </w:p>
    <w:p w14:paraId="3A7FCAFA" w14:textId="18E16606" w:rsidR="00023FB2" w:rsidRPr="00023FB2" w:rsidRDefault="00023FB2" w:rsidP="00023FB2">
      <w:pPr>
        <w:jc w:val="both"/>
        <w:rPr>
          <w:rFonts w:ascii="inherit" w:hAnsi="inherit"/>
          <w:b/>
          <w:bCs/>
          <w:color w:val="0000FF"/>
          <w:sz w:val="36"/>
          <w:szCs w:val="36"/>
          <w:bdr w:val="none" w:sz="0" w:space="0" w:color="auto" w:frame="1"/>
          <w:rtl/>
          <w:lang w:eastAsia="fr-FR"/>
        </w:rPr>
      </w:pPr>
      <w:r w:rsidRPr="00023FB2">
        <w:rPr>
          <w:rFonts w:ascii="inherit" w:hAnsi="inherit"/>
          <w:b/>
          <w:bCs/>
          <w:color w:val="0000FF"/>
          <w:sz w:val="36"/>
          <w:szCs w:val="36"/>
          <w:bdr w:val="none" w:sz="0" w:space="0" w:color="auto" w:frame="1"/>
          <w:rtl/>
          <w:lang w:eastAsia="fr-FR"/>
        </w:rPr>
        <w:t>و - مؤشرات لرصد التكوين</w:t>
      </w:r>
    </w:p>
    <w:p w14:paraId="539AA339" w14:textId="3E98FF3B"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يمكن تحديد مؤشرات مراقبة التكوين، على أساس المجالات التي بدأتها لجنة تنفيذ ضمان الجودة في المؤسسات. أما على المستوى المحلي، فيمكن الاستعانة بتقارير اللجان والمجالس المحلية للمساهمة في التقييم:</w:t>
      </w:r>
    </w:p>
    <w:p w14:paraId="6E74A9B4"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لجان التدريس</w:t>
      </w:r>
    </w:p>
    <w:p w14:paraId="0C9F6318"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المجالس العلمية (القسم، الكلية)</w:t>
      </w:r>
    </w:p>
    <w:p w14:paraId="59A93734"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رؤية مخرجات التدريس ;</w:t>
      </w:r>
    </w:p>
    <w:p w14:paraId="4BB7BB87" w14:textId="05FE7625"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lastRenderedPageBreak/>
        <w:t>- أطروحات ومشاريع السنة النهائية.</w:t>
      </w:r>
    </w:p>
    <w:p w14:paraId="62A20AA0" w14:textId="7974067F"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تقارير التدريب الداخلي</w:t>
      </w:r>
    </w:p>
    <w:p w14:paraId="7D7E7B21" w14:textId="0E071880" w:rsidR="00023FB2" w:rsidRPr="00DB5A3A" w:rsidRDefault="00BD646B" w:rsidP="00DB5A3A">
      <w:pPr>
        <w:shd w:val="clear" w:color="auto" w:fill="FFFFFF"/>
        <w:textAlignment w:val="baseline"/>
        <w:rPr>
          <w:rFonts w:ascii="Lato" w:hAnsi="Lato"/>
          <w:sz w:val="28"/>
          <w:szCs w:val="28"/>
          <w:rtl/>
          <w:lang w:eastAsia="fr-FR"/>
        </w:rPr>
      </w:pPr>
      <w:r>
        <w:rPr>
          <w:rFonts w:ascii="Lato" w:hAnsi="Lato"/>
          <w:noProof/>
          <w:sz w:val="28"/>
          <w:szCs w:val="28"/>
          <w:rtl/>
          <w:lang w:val="fr-FR" w:eastAsia="fr-FR" w:bidi="ar-SA"/>
        </w:rPr>
        <w:drawing>
          <wp:anchor distT="0" distB="0" distL="114300" distR="114300" simplePos="0" relativeHeight="251676672" behindDoc="0" locked="1" layoutInCell="1" allowOverlap="1" wp14:anchorId="6A720E76" wp14:editId="2016138C">
            <wp:simplePos x="0" y="0"/>
            <wp:positionH relativeFrom="column">
              <wp:posOffset>-100965</wp:posOffset>
            </wp:positionH>
            <wp:positionV relativeFrom="paragraph">
              <wp:posOffset>133985</wp:posOffset>
            </wp:positionV>
            <wp:extent cx="4543200" cy="3855600"/>
            <wp:effectExtent l="0" t="0" r="0" b="0"/>
            <wp:wrapSquare wrapText="bothSides"/>
            <wp:docPr id="12470887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88748" name="Image 1247088748"/>
                    <pic:cNvPicPr/>
                  </pic:nvPicPr>
                  <pic:blipFill rotWithShape="1">
                    <a:blip r:embed="rId11">
                      <a:extLst>
                        <a:ext uri="{28A0092B-C50C-407E-A947-70E740481C1C}">
                          <a14:useLocalDpi xmlns:a14="http://schemas.microsoft.com/office/drawing/2010/main" val="0"/>
                        </a:ext>
                      </a:extLst>
                    </a:blip>
                    <a:srcRect l="24892" t="39736" r="21864"/>
                    <a:stretch/>
                  </pic:blipFill>
                  <pic:spPr bwMode="auto">
                    <a:xfrm>
                      <a:off x="0" y="0"/>
                      <a:ext cx="4543200" cy="38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3FB2" w:rsidRPr="00DB5A3A">
        <w:rPr>
          <w:rFonts w:ascii="Lato" w:hAnsi="Lato"/>
          <w:sz w:val="28"/>
          <w:szCs w:val="28"/>
          <w:rtl/>
          <w:lang w:eastAsia="fr-FR"/>
        </w:rPr>
        <w:t>- المحافظ.</w:t>
      </w:r>
    </w:p>
    <w:p w14:paraId="7846AD7A" w14:textId="08D5EF43"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التقييم المستمر</w:t>
      </w:r>
    </w:p>
    <w:p w14:paraId="4A7A1156"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إمكانية تتبع الخريجين,</w:t>
      </w:r>
    </w:p>
    <w:p w14:paraId="47F7FF5C"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متابعة قابلية التوظيف</w:t>
      </w:r>
    </w:p>
    <w:p w14:paraId="100C5493"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تتطلب جودة التكوين في مجال العمارة الداخلية، والتي تعتمد بشكل أساسي على ورشة العمل كمساحة لتجميع المعرفة وتطبيقها، مراقبة مستمرة مع إجراء تقييمات وسيطة. تجمع ورشة العمل بين المعرفة والدراية والمهارات الشخصية. لذلك تستند مؤشرات التدريب على ورشة العمل هذه.</w:t>
      </w:r>
    </w:p>
    <w:p w14:paraId="4415514F"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معدل الحضور ;</w:t>
      </w:r>
    </w:p>
    <w:p w14:paraId="00DD2F9A" w14:textId="40C6546A"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معدل النجاح في موضوع ورشة العمل</w:t>
      </w:r>
    </w:p>
    <w:p w14:paraId="4077C9A3"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جودة الأفكار المبتكرة بما يتماشى مع الواقع، في ورشة العمل</w:t>
      </w:r>
    </w:p>
    <w:p w14:paraId="4E7F4FE0" w14:textId="77777777" w:rsidR="00023FB2" w:rsidRPr="00DB5A3A" w:rsidRDefault="00023FB2" w:rsidP="00DB5A3A">
      <w:pPr>
        <w:shd w:val="clear" w:color="auto" w:fill="FFFFFF"/>
        <w:textAlignment w:val="baseline"/>
        <w:rPr>
          <w:rFonts w:ascii="Lato" w:hAnsi="Lato"/>
          <w:sz w:val="28"/>
          <w:szCs w:val="28"/>
          <w:rtl/>
          <w:lang w:eastAsia="fr-FR"/>
        </w:rPr>
      </w:pPr>
      <w:r w:rsidRPr="00DB5A3A">
        <w:rPr>
          <w:rFonts w:ascii="Lato" w:hAnsi="Lato"/>
          <w:sz w:val="28"/>
          <w:szCs w:val="28"/>
          <w:rtl/>
          <w:lang w:eastAsia="fr-FR"/>
        </w:rPr>
        <w:t>- معدل النجاح بدون ديون</w:t>
      </w:r>
    </w:p>
    <w:p w14:paraId="05282BA1" w14:textId="04778E68" w:rsidR="00023FB2" w:rsidRPr="00023FB2" w:rsidRDefault="00023FB2" w:rsidP="00023FB2">
      <w:pPr>
        <w:jc w:val="both"/>
        <w:rPr>
          <w:rFonts w:ascii="inherit" w:hAnsi="inherit"/>
          <w:b/>
          <w:bCs/>
          <w:color w:val="0000FF"/>
          <w:sz w:val="36"/>
          <w:szCs w:val="36"/>
          <w:bdr w:val="none" w:sz="0" w:space="0" w:color="auto" w:frame="1"/>
          <w:rtl/>
          <w:lang w:eastAsia="fr-FR"/>
        </w:rPr>
      </w:pPr>
    </w:p>
    <w:p w14:paraId="711E7E80" w14:textId="24097903" w:rsidR="00023FB2" w:rsidRPr="00023FB2" w:rsidRDefault="00023FB2" w:rsidP="00023FB2">
      <w:pPr>
        <w:jc w:val="both"/>
        <w:rPr>
          <w:rFonts w:ascii="inherit" w:hAnsi="inherit"/>
          <w:b/>
          <w:bCs/>
          <w:color w:val="0000FF"/>
          <w:sz w:val="36"/>
          <w:szCs w:val="36"/>
          <w:bdr w:val="none" w:sz="0" w:space="0" w:color="auto" w:frame="1"/>
          <w:rtl/>
          <w:lang w:eastAsia="fr-FR"/>
        </w:rPr>
      </w:pPr>
      <w:r w:rsidRPr="00023FB2">
        <w:rPr>
          <w:rFonts w:ascii="inherit" w:hAnsi="inherit"/>
          <w:b/>
          <w:bCs/>
          <w:color w:val="0000FF"/>
          <w:sz w:val="36"/>
          <w:szCs w:val="36"/>
          <w:bdr w:val="none" w:sz="0" w:space="0" w:color="auto" w:frame="1"/>
          <w:rtl/>
          <w:lang w:eastAsia="fr-FR"/>
        </w:rPr>
        <w:t>ز - الطاقة الاستيعابية للطلاب</w:t>
      </w:r>
    </w:p>
    <w:p w14:paraId="6AD88A61" w14:textId="39E7EB7D" w:rsidR="000C62E6" w:rsidRPr="00DB5A3A" w:rsidRDefault="00023FB2" w:rsidP="00DB5A3A">
      <w:pPr>
        <w:shd w:val="clear" w:color="auto" w:fill="FFFFFF"/>
        <w:textAlignment w:val="baseline"/>
        <w:rPr>
          <w:rFonts w:ascii="Lato" w:hAnsi="Lato"/>
          <w:sz w:val="28"/>
          <w:szCs w:val="28"/>
          <w:lang w:eastAsia="fr-FR"/>
        </w:rPr>
      </w:pPr>
      <w:r w:rsidRPr="00DB5A3A">
        <w:rPr>
          <w:rFonts w:ascii="Lato" w:hAnsi="Lato"/>
          <w:sz w:val="28"/>
          <w:szCs w:val="28"/>
          <w:rtl/>
          <w:lang w:eastAsia="fr-FR"/>
        </w:rPr>
        <w:t>120 طالباً</w:t>
      </w:r>
    </w:p>
    <w:p w14:paraId="3F868063" w14:textId="5E87E759" w:rsidR="000C62E6" w:rsidRDefault="000C62E6" w:rsidP="007D01BA">
      <w:pPr>
        <w:jc w:val="both"/>
        <w:rPr>
          <w:rFonts w:cs="Traditional Arabic"/>
          <w:b/>
          <w:bCs/>
          <w:sz w:val="36"/>
          <w:szCs w:val="36"/>
          <w:lang w:val="fr-FR"/>
        </w:rPr>
      </w:pPr>
    </w:p>
    <w:sectPr w:rsidR="000C62E6" w:rsidSect="0094714C">
      <w:footerReference w:type="even" r:id="rId12"/>
      <w:footerReference w:type="default" r:id="rId13"/>
      <w:pgSz w:w="16840" w:h="23814" w:code="8"/>
      <w:pgMar w:top="568" w:right="1701" w:bottom="1418"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32EBF" w14:textId="77777777" w:rsidR="000263A0" w:rsidRDefault="000263A0">
      <w:r>
        <w:separator/>
      </w:r>
    </w:p>
  </w:endnote>
  <w:endnote w:type="continuationSeparator" w:id="0">
    <w:p w14:paraId="2D5D7266" w14:textId="77777777" w:rsidR="000263A0" w:rsidRDefault="0002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00000001" w:usb1="5000604B" w:usb2="00000000" w:usb3="00000000" w:csb0="00000093"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coType Naskh Variants">
    <w:altName w:val="Times New Roman"/>
    <w:charset w:val="B2"/>
    <w:family w:val="auto"/>
    <w:pitch w:val="variable"/>
    <w:sig w:usb0="80002003" w:usb1="90000048" w:usb2="00000028" w:usb3="00000000" w:csb0="0000004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A5501" w14:textId="77777777" w:rsidR="00AB409E" w:rsidRDefault="00D04794" w:rsidP="00AB409E">
    <w:pPr>
      <w:pStyle w:val="Pieddepage"/>
      <w:framePr w:wrap="around" w:vAnchor="text" w:hAnchor="text" w:xAlign="right" w:y="1"/>
      <w:rPr>
        <w:rStyle w:val="Numrodepage"/>
      </w:rPr>
    </w:pPr>
    <w:r>
      <w:rPr>
        <w:rStyle w:val="Numrodepage"/>
        <w:rtl/>
      </w:rPr>
      <w:fldChar w:fldCharType="begin"/>
    </w:r>
    <w:r w:rsidR="00AB409E">
      <w:rPr>
        <w:rStyle w:val="Numrodepage"/>
      </w:rPr>
      <w:instrText xml:space="preserve">PAGE  </w:instrText>
    </w:r>
    <w:r>
      <w:rPr>
        <w:rStyle w:val="Numrodepage"/>
        <w:rtl/>
      </w:rPr>
      <w:fldChar w:fldCharType="end"/>
    </w:r>
  </w:p>
  <w:p w14:paraId="394BF296" w14:textId="77777777" w:rsidR="00AB409E" w:rsidRDefault="00AB409E" w:rsidP="00AB409E">
    <w:pPr>
      <w:pStyle w:val="Pieddepage"/>
      <w:ind w:left="36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A9935" w14:textId="77777777" w:rsidR="00AB409E" w:rsidRDefault="00AB409E" w:rsidP="00AB409E">
    <w:pPr>
      <w:pStyle w:val="Pieddepage"/>
      <w:ind w:left="36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0D743" w14:textId="77777777" w:rsidR="000263A0" w:rsidRDefault="000263A0">
      <w:r>
        <w:separator/>
      </w:r>
    </w:p>
  </w:footnote>
  <w:footnote w:type="continuationSeparator" w:id="0">
    <w:p w14:paraId="03DE9362" w14:textId="77777777" w:rsidR="000263A0" w:rsidRDefault="00026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AD7"/>
    <w:multiLevelType w:val="hybridMultilevel"/>
    <w:tmpl w:val="728E5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F6EB9"/>
    <w:multiLevelType w:val="hybridMultilevel"/>
    <w:tmpl w:val="C2908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325AA8"/>
    <w:multiLevelType w:val="hybridMultilevel"/>
    <w:tmpl w:val="F1840CBC"/>
    <w:lvl w:ilvl="0" w:tplc="040C0001">
      <w:start w:val="1"/>
      <w:numFmt w:val="bullet"/>
      <w:lvlText w:val=""/>
      <w:lvlJc w:val="left"/>
      <w:pPr>
        <w:ind w:left="720" w:hanging="360"/>
      </w:pPr>
      <w:rPr>
        <w:rFonts w:ascii="Symbol" w:hAnsi="Symbol" w:hint="default"/>
      </w:rPr>
    </w:lvl>
    <w:lvl w:ilvl="1" w:tplc="52A4D62C">
      <w:numFmt w:val="bullet"/>
      <w:lvlText w:val="•"/>
      <w:lvlJc w:val="left"/>
      <w:pPr>
        <w:ind w:left="1440" w:hanging="360"/>
      </w:pPr>
      <w:rPr>
        <w:rFonts w:ascii="Lato" w:eastAsia="Times New Roman" w:hAnsi="Lato"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B4452E"/>
    <w:multiLevelType w:val="hybridMultilevel"/>
    <w:tmpl w:val="52EA73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280E12"/>
    <w:multiLevelType w:val="hybridMultilevel"/>
    <w:tmpl w:val="5A481498"/>
    <w:lvl w:ilvl="0" w:tplc="4DA6378C">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FCE5DC1"/>
    <w:multiLevelType w:val="hybridMultilevel"/>
    <w:tmpl w:val="9468C370"/>
    <w:lvl w:ilvl="0" w:tplc="040C000B">
      <w:start w:val="1"/>
      <w:numFmt w:val="bullet"/>
      <w:lvlText w:val=""/>
      <w:lvlJc w:val="left"/>
      <w:pPr>
        <w:tabs>
          <w:tab w:val="num" w:pos="720"/>
        </w:tabs>
        <w:ind w:left="720" w:hanging="360"/>
      </w:pPr>
      <w:rPr>
        <w:rFonts w:ascii="Wingdings" w:hAnsi="Wingdings" w:hint="default"/>
      </w:rPr>
    </w:lvl>
    <w:lvl w:ilvl="1" w:tplc="2592D2EE">
      <w:start w:val="2"/>
      <w:numFmt w:val="bullet"/>
      <w:lvlText w:val="-"/>
      <w:lvlJc w:val="left"/>
      <w:pPr>
        <w:tabs>
          <w:tab w:val="num" w:pos="1440"/>
        </w:tabs>
        <w:ind w:left="1440" w:hanging="360"/>
      </w:pPr>
      <w:rPr>
        <w:rFonts w:ascii="Times New Roman" w:eastAsia="Times New Roman" w:hAnsi="Times New Roman" w:cs="Arabic Transparent"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51E3389"/>
    <w:multiLevelType w:val="multilevel"/>
    <w:tmpl w:val="D59E92A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34448C"/>
    <w:multiLevelType w:val="hybridMultilevel"/>
    <w:tmpl w:val="CB3EC812"/>
    <w:lvl w:ilvl="0" w:tplc="02C20576">
      <w:start w:val="1"/>
      <w:numFmt w:val="bullet"/>
      <w:lvlText w:val=""/>
      <w:lvlJc w:val="left"/>
      <w:pPr>
        <w:tabs>
          <w:tab w:val="num" w:pos="360"/>
        </w:tabs>
        <w:ind w:left="360" w:hanging="360"/>
      </w:pPr>
      <w:rPr>
        <w:rFonts w:ascii="Wingdings" w:hAnsi="Wingdings" w:hint="default"/>
        <w:color w:val="auto"/>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AB5373"/>
    <w:multiLevelType w:val="hybridMultilevel"/>
    <w:tmpl w:val="DBD89D26"/>
    <w:lvl w:ilvl="0" w:tplc="CF9E7E0A">
      <w:start w:val="2"/>
      <w:numFmt w:val="bullet"/>
      <w:lvlText w:val="-"/>
      <w:lvlJc w:val="left"/>
      <w:pPr>
        <w:tabs>
          <w:tab w:val="num" w:pos="735"/>
        </w:tabs>
        <w:ind w:left="735" w:hanging="375"/>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B375F2"/>
    <w:multiLevelType w:val="hybridMultilevel"/>
    <w:tmpl w:val="1F8C857E"/>
    <w:lvl w:ilvl="0" w:tplc="A2700D4C">
      <w:start w:val="1"/>
      <w:numFmt w:val="bullet"/>
      <w:lvlText w:val=""/>
      <w:lvlJc w:val="left"/>
      <w:pPr>
        <w:ind w:left="720" w:hanging="360"/>
      </w:pPr>
      <w:rPr>
        <w:rFonts w:ascii="Wingdings" w:hAnsi="Wingdings"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2C4951"/>
    <w:multiLevelType w:val="hybridMultilevel"/>
    <w:tmpl w:val="F580FB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26F4C84"/>
    <w:multiLevelType w:val="hybridMultilevel"/>
    <w:tmpl w:val="301299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8"/>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81"/>
    <w:rsid w:val="00003593"/>
    <w:rsid w:val="0001279B"/>
    <w:rsid w:val="00023FB2"/>
    <w:rsid w:val="000255AA"/>
    <w:rsid w:val="000263A0"/>
    <w:rsid w:val="00035E34"/>
    <w:rsid w:val="00064313"/>
    <w:rsid w:val="00065C31"/>
    <w:rsid w:val="00067188"/>
    <w:rsid w:val="00082806"/>
    <w:rsid w:val="00086E8A"/>
    <w:rsid w:val="000A799B"/>
    <w:rsid w:val="000C62E6"/>
    <w:rsid w:val="000E1D5A"/>
    <w:rsid w:val="000E33F6"/>
    <w:rsid w:val="000F0080"/>
    <w:rsid w:val="000F0749"/>
    <w:rsid w:val="001027EF"/>
    <w:rsid w:val="00114B00"/>
    <w:rsid w:val="0013230E"/>
    <w:rsid w:val="001523D9"/>
    <w:rsid w:val="001A40C3"/>
    <w:rsid w:val="001E03D4"/>
    <w:rsid w:val="001E6FCA"/>
    <w:rsid w:val="00207042"/>
    <w:rsid w:val="00207FF6"/>
    <w:rsid w:val="0022129F"/>
    <w:rsid w:val="002327DD"/>
    <w:rsid w:val="00254181"/>
    <w:rsid w:val="00262ACB"/>
    <w:rsid w:val="00295130"/>
    <w:rsid w:val="00295772"/>
    <w:rsid w:val="002D0FAD"/>
    <w:rsid w:val="00322C11"/>
    <w:rsid w:val="00330A1F"/>
    <w:rsid w:val="003621E1"/>
    <w:rsid w:val="00363ABA"/>
    <w:rsid w:val="003714FA"/>
    <w:rsid w:val="0039506B"/>
    <w:rsid w:val="003A079E"/>
    <w:rsid w:val="003C0AEF"/>
    <w:rsid w:val="00422A3B"/>
    <w:rsid w:val="004C3326"/>
    <w:rsid w:val="004C404A"/>
    <w:rsid w:val="004F33A6"/>
    <w:rsid w:val="005022CC"/>
    <w:rsid w:val="0050638A"/>
    <w:rsid w:val="00510E09"/>
    <w:rsid w:val="0051514D"/>
    <w:rsid w:val="00565310"/>
    <w:rsid w:val="005729AC"/>
    <w:rsid w:val="005A6F13"/>
    <w:rsid w:val="005F14AF"/>
    <w:rsid w:val="005F1D68"/>
    <w:rsid w:val="00634F96"/>
    <w:rsid w:val="00672C5B"/>
    <w:rsid w:val="0068403C"/>
    <w:rsid w:val="006874C6"/>
    <w:rsid w:val="006A4E20"/>
    <w:rsid w:val="00706ACE"/>
    <w:rsid w:val="00715C47"/>
    <w:rsid w:val="007368B2"/>
    <w:rsid w:val="00761822"/>
    <w:rsid w:val="007922CF"/>
    <w:rsid w:val="00796A62"/>
    <w:rsid w:val="007A16F5"/>
    <w:rsid w:val="007C65C7"/>
    <w:rsid w:val="007C725A"/>
    <w:rsid w:val="007C7530"/>
    <w:rsid w:val="007D01BA"/>
    <w:rsid w:val="007D37C6"/>
    <w:rsid w:val="00805449"/>
    <w:rsid w:val="00811ACA"/>
    <w:rsid w:val="00813FB6"/>
    <w:rsid w:val="00847D29"/>
    <w:rsid w:val="008714BA"/>
    <w:rsid w:val="00897793"/>
    <w:rsid w:val="008F4467"/>
    <w:rsid w:val="009119E0"/>
    <w:rsid w:val="0091595C"/>
    <w:rsid w:val="00917960"/>
    <w:rsid w:val="00936E38"/>
    <w:rsid w:val="0093757C"/>
    <w:rsid w:val="0094714C"/>
    <w:rsid w:val="00960123"/>
    <w:rsid w:val="00964FB6"/>
    <w:rsid w:val="009B5E41"/>
    <w:rsid w:val="009C2BD1"/>
    <w:rsid w:val="009C35BA"/>
    <w:rsid w:val="009D14BB"/>
    <w:rsid w:val="009E20BF"/>
    <w:rsid w:val="00A0499B"/>
    <w:rsid w:val="00A147DF"/>
    <w:rsid w:val="00A266C7"/>
    <w:rsid w:val="00A32632"/>
    <w:rsid w:val="00A53A5C"/>
    <w:rsid w:val="00A80B5C"/>
    <w:rsid w:val="00A82D1C"/>
    <w:rsid w:val="00AA1208"/>
    <w:rsid w:val="00AB1101"/>
    <w:rsid w:val="00AB409E"/>
    <w:rsid w:val="00AC5F1B"/>
    <w:rsid w:val="00AF2960"/>
    <w:rsid w:val="00B01A85"/>
    <w:rsid w:val="00B6627D"/>
    <w:rsid w:val="00B93DAE"/>
    <w:rsid w:val="00BC7FCB"/>
    <w:rsid w:val="00BD646B"/>
    <w:rsid w:val="00C76D27"/>
    <w:rsid w:val="00CA3D4E"/>
    <w:rsid w:val="00CC528A"/>
    <w:rsid w:val="00CF0E33"/>
    <w:rsid w:val="00CF2D66"/>
    <w:rsid w:val="00D04794"/>
    <w:rsid w:val="00D2719D"/>
    <w:rsid w:val="00D303C0"/>
    <w:rsid w:val="00D40D7D"/>
    <w:rsid w:val="00D50FD1"/>
    <w:rsid w:val="00D76CF5"/>
    <w:rsid w:val="00D8033B"/>
    <w:rsid w:val="00D86116"/>
    <w:rsid w:val="00D965C8"/>
    <w:rsid w:val="00DB5A3A"/>
    <w:rsid w:val="00DE766B"/>
    <w:rsid w:val="00E122F8"/>
    <w:rsid w:val="00E55A13"/>
    <w:rsid w:val="00E646E0"/>
    <w:rsid w:val="00E907DE"/>
    <w:rsid w:val="00EA1235"/>
    <w:rsid w:val="00EA3F2A"/>
    <w:rsid w:val="00EC1BD2"/>
    <w:rsid w:val="00ED2595"/>
    <w:rsid w:val="00EE345B"/>
    <w:rsid w:val="00F12EC0"/>
    <w:rsid w:val="00F2124C"/>
    <w:rsid w:val="00F6212F"/>
    <w:rsid w:val="00F64AE8"/>
    <w:rsid w:val="00F77E7F"/>
    <w:rsid w:val="00F80A85"/>
    <w:rsid w:val="00F86A15"/>
    <w:rsid w:val="00F956FB"/>
    <w:rsid w:val="00FC3D64"/>
    <w:rsid w:val="00FE25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f9,#ff9"/>
    </o:shapedefaults>
    <o:shapelayout v:ext="edit">
      <o:idmap v:ext="edit" data="1"/>
    </o:shapelayout>
  </w:shapeDefaults>
  <w:decimalSymbol w:val=","/>
  <w:listSeparator w:val=";"/>
  <w14:docId w14:val="22F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5C"/>
    <w:pPr>
      <w:bidi/>
    </w:pPr>
    <w:rPr>
      <w:sz w:val="24"/>
      <w:szCs w:val="24"/>
      <w:lang w:val="en-US" w:eastAsia="en-US" w:bidi="ar-DZ"/>
    </w:rPr>
  </w:style>
  <w:style w:type="paragraph" w:styleId="Titre2">
    <w:name w:val="heading 2"/>
    <w:basedOn w:val="Normal"/>
    <w:next w:val="Normal"/>
    <w:qFormat/>
    <w:rsid w:val="00A53A5C"/>
    <w:pPr>
      <w:keepNext/>
      <w:bidi w:val="0"/>
      <w:jc w:val="center"/>
      <w:outlineLvl w:val="1"/>
    </w:pPr>
    <w:rPr>
      <w:rFonts w:eastAsia="SimSun" w:cs="DecoType Naskh Variants"/>
      <w:sz w:val="144"/>
      <w:szCs w:val="144"/>
      <w:lang w:eastAsia="zh-CN"/>
    </w:rPr>
  </w:style>
  <w:style w:type="paragraph" w:styleId="Titre3">
    <w:name w:val="heading 3"/>
    <w:basedOn w:val="Normal"/>
    <w:next w:val="Normal"/>
    <w:qFormat/>
    <w:rsid w:val="00A53A5C"/>
    <w:pPr>
      <w:keepNext/>
      <w:jc w:val="center"/>
      <w:outlineLvl w:val="2"/>
    </w:pPr>
    <w:rPr>
      <w:rFonts w:cs="Arabic Transparent"/>
      <w:b/>
      <w:bCs/>
      <w:color w:val="FFFF00"/>
      <w:sz w:val="64"/>
      <w:szCs w:val="64"/>
    </w:rPr>
  </w:style>
  <w:style w:type="paragraph" w:styleId="Titre4">
    <w:name w:val="heading 4"/>
    <w:basedOn w:val="Normal"/>
    <w:next w:val="Normal"/>
    <w:qFormat/>
    <w:rsid w:val="00A53A5C"/>
    <w:pPr>
      <w:keepNext/>
      <w:ind w:right="720"/>
      <w:jc w:val="lowKashida"/>
      <w:outlineLvl w:val="3"/>
    </w:pPr>
    <w:rPr>
      <w:rFonts w:cs="Arabic Transparent"/>
      <w:b/>
      <w:bCs/>
      <w:color w:val="0000FF"/>
      <w:sz w:val="60"/>
      <w:szCs w:val="60"/>
      <w:u w:val="single"/>
      <w:lang w:val="fr-FR"/>
    </w:rPr>
  </w:style>
  <w:style w:type="paragraph" w:styleId="Titre8">
    <w:name w:val="heading 8"/>
    <w:basedOn w:val="Normal"/>
    <w:next w:val="Normal"/>
    <w:qFormat/>
    <w:rsid w:val="00A53A5C"/>
    <w:pPr>
      <w:keepNext/>
      <w:spacing w:before="240" w:after="240"/>
      <w:ind w:left="720" w:right="720"/>
      <w:jc w:val="lowKashida"/>
      <w:outlineLvl w:val="7"/>
    </w:pPr>
    <w:rPr>
      <w:rFonts w:cs="Arabic Transparent"/>
      <w:b/>
      <w:bCs/>
      <w:color w:val="0000FF"/>
      <w:sz w:val="60"/>
      <w:szCs w:val="6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53A5C"/>
    <w:pPr>
      <w:bidi w:val="0"/>
      <w:jc w:val="right"/>
    </w:pPr>
    <w:rPr>
      <w:rFonts w:eastAsia="SimSun" w:cs="Andalus"/>
      <w:b/>
      <w:bCs/>
      <w:sz w:val="96"/>
      <w:szCs w:val="144"/>
      <w:lang w:val="fr-FR" w:eastAsia="zh-CN"/>
    </w:rPr>
  </w:style>
  <w:style w:type="paragraph" w:styleId="Corpsdetexte2">
    <w:name w:val="Body Text 2"/>
    <w:basedOn w:val="Normal"/>
    <w:rsid w:val="00A53A5C"/>
    <w:pPr>
      <w:bidi w:val="0"/>
      <w:jc w:val="right"/>
    </w:pPr>
    <w:rPr>
      <w:rFonts w:eastAsia="SimSun"/>
      <w:sz w:val="144"/>
      <w:szCs w:val="144"/>
      <w:lang w:val="fr-FR" w:eastAsia="zh-CN"/>
    </w:rPr>
  </w:style>
  <w:style w:type="paragraph" w:styleId="Pieddepage">
    <w:name w:val="footer"/>
    <w:basedOn w:val="Normal"/>
    <w:rsid w:val="00A53A5C"/>
    <w:pPr>
      <w:tabs>
        <w:tab w:val="center" w:pos="4153"/>
        <w:tab w:val="right" w:pos="8306"/>
      </w:tabs>
      <w:jc w:val="right"/>
    </w:pPr>
  </w:style>
  <w:style w:type="character" w:styleId="Numrodepage">
    <w:name w:val="page number"/>
    <w:basedOn w:val="Policepardfaut"/>
    <w:rsid w:val="00A53A5C"/>
  </w:style>
  <w:style w:type="paragraph" w:styleId="Textedebulles">
    <w:name w:val="Balloon Text"/>
    <w:basedOn w:val="Normal"/>
    <w:link w:val="TextedebullesCar"/>
    <w:rsid w:val="00363ABA"/>
    <w:rPr>
      <w:rFonts w:ascii="Tahoma" w:hAnsi="Tahoma" w:cs="Tahoma"/>
      <w:sz w:val="16"/>
      <w:szCs w:val="16"/>
    </w:rPr>
  </w:style>
  <w:style w:type="character" w:customStyle="1" w:styleId="TextedebullesCar">
    <w:name w:val="Texte de bulles Car"/>
    <w:basedOn w:val="Policepardfaut"/>
    <w:link w:val="Textedebulles"/>
    <w:rsid w:val="00363ABA"/>
    <w:rPr>
      <w:rFonts w:ascii="Tahoma" w:hAnsi="Tahoma" w:cs="Tahoma"/>
      <w:sz w:val="16"/>
      <w:szCs w:val="16"/>
      <w:lang w:val="en-US" w:eastAsia="en-US" w:bidi="ar-DZ"/>
    </w:rPr>
  </w:style>
  <w:style w:type="paragraph" w:styleId="Paragraphedeliste">
    <w:name w:val="List Paragraph"/>
    <w:basedOn w:val="Normal"/>
    <w:uiPriority w:val="34"/>
    <w:qFormat/>
    <w:rsid w:val="009C35BA"/>
    <w:pPr>
      <w:ind w:left="720"/>
      <w:contextualSpacing/>
    </w:pPr>
  </w:style>
  <w:style w:type="paragraph" w:styleId="NormalWeb">
    <w:name w:val="Normal (Web)"/>
    <w:basedOn w:val="Normal"/>
    <w:uiPriority w:val="99"/>
    <w:unhideWhenUsed/>
    <w:rsid w:val="00D50FD1"/>
    <w:pPr>
      <w:bidi w:val="0"/>
      <w:spacing w:before="100" w:beforeAutospacing="1" w:after="100" w:afterAutospacing="1"/>
    </w:pPr>
    <w:rPr>
      <w:lang w:val="fr-FR" w:eastAsia="fr-FR" w:bidi="ar-SA"/>
    </w:rPr>
  </w:style>
  <w:style w:type="paragraph" w:styleId="En-tte">
    <w:name w:val="header"/>
    <w:basedOn w:val="Normal"/>
    <w:link w:val="En-tteCar"/>
    <w:rsid w:val="00A80B5C"/>
    <w:pPr>
      <w:tabs>
        <w:tab w:val="center" w:pos="4536"/>
        <w:tab w:val="right" w:pos="9072"/>
      </w:tabs>
    </w:pPr>
  </w:style>
  <w:style w:type="character" w:customStyle="1" w:styleId="En-tteCar">
    <w:name w:val="En-tête Car"/>
    <w:basedOn w:val="Policepardfaut"/>
    <w:link w:val="En-tte"/>
    <w:rsid w:val="00A80B5C"/>
    <w:rPr>
      <w:sz w:val="24"/>
      <w:szCs w:val="24"/>
      <w:lang w:val="en-US"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5C"/>
    <w:pPr>
      <w:bidi/>
    </w:pPr>
    <w:rPr>
      <w:sz w:val="24"/>
      <w:szCs w:val="24"/>
      <w:lang w:val="en-US" w:eastAsia="en-US" w:bidi="ar-DZ"/>
    </w:rPr>
  </w:style>
  <w:style w:type="paragraph" w:styleId="Titre2">
    <w:name w:val="heading 2"/>
    <w:basedOn w:val="Normal"/>
    <w:next w:val="Normal"/>
    <w:qFormat/>
    <w:rsid w:val="00A53A5C"/>
    <w:pPr>
      <w:keepNext/>
      <w:bidi w:val="0"/>
      <w:jc w:val="center"/>
      <w:outlineLvl w:val="1"/>
    </w:pPr>
    <w:rPr>
      <w:rFonts w:eastAsia="SimSun" w:cs="DecoType Naskh Variants"/>
      <w:sz w:val="144"/>
      <w:szCs w:val="144"/>
      <w:lang w:eastAsia="zh-CN"/>
    </w:rPr>
  </w:style>
  <w:style w:type="paragraph" w:styleId="Titre3">
    <w:name w:val="heading 3"/>
    <w:basedOn w:val="Normal"/>
    <w:next w:val="Normal"/>
    <w:qFormat/>
    <w:rsid w:val="00A53A5C"/>
    <w:pPr>
      <w:keepNext/>
      <w:jc w:val="center"/>
      <w:outlineLvl w:val="2"/>
    </w:pPr>
    <w:rPr>
      <w:rFonts w:cs="Arabic Transparent"/>
      <w:b/>
      <w:bCs/>
      <w:color w:val="FFFF00"/>
      <w:sz w:val="64"/>
      <w:szCs w:val="64"/>
    </w:rPr>
  </w:style>
  <w:style w:type="paragraph" w:styleId="Titre4">
    <w:name w:val="heading 4"/>
    <w:basedOn w:val="Normal"/>
    <w:next w:val="Normal"/>
    <w:qFormat/>
    <w:rsid w:val="00A53A5C"/>
    <w:pPr>
      <w:keepNext/>
      <w:ind w:right="720"/>
      <w:jc w:val="lowKashida"/>
      <w:outlineLvl w:val="3"/>
    </w:pPr>
    <w:rPr>
      <w:rFonts w:cs="Arabic Transparent"/>
      <w:b/>
      <w:bCs/>
      <w:color w:val="0000FF"/>
      <w:sz w:val="60"/>
      <w:szCs w:val="60"/>
      <w:u w:val="single"/>
      <w:lang w:val="fr-FR"/>
    </w:rPr>
  </w:style>
  <w:style w:type="paragraph" w:styleId="Titre8">
    <w:name w:val="heading 8"/>
    <w:basedOn w:val="Normal"/>
    <w:next w:val="Normal"/>
    <w:qFormat/>
    <w:rsid w:val="00A53A5C"/>
    <w:pPr>
      <w:keepNext/>
      <w:spacing w:before="240" w:after="240"/>
      <w:ind w:left="720" w:right="720"/>
      <w:jc w:val="lowKashida"/>
      <w:outlineLvl w:val="7"/>
    </w:pPr>
    <w:rPr>
      <w:rFonts w:cs="Arabic Transparent"/>
      <w:b/>
      <w:bCs/>
      <w:color w:val="0000FF"/>
      <w:sz w:val="60"/>
      <w:szCs w:val="6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53A5C"/>
    <w:pPr>
      <w:bidi w:val="0"/>
      <w:jc w:val="right"/>
    </w:pPr>
    <w:rPr>
      <w:rFonts w:eastAsia="SimSun" w:cs="Andalus"/>
      <w:b/>
      <w:bCs/>
      <w:sz w:val="96"/>
      <w:szCs w:val="144"/>
      <w:lang w:val="fr-FR" w:eastAsia="zh-CN"/>
    </w:rPr>
  </w:style>
  <w:style w:type="paragraph" w:styleId="Corpsdetexte2">
    <w:name w:val="Body Text 2"/>
    <w:basedOn w:val="Normal"/>
    <w:rsid w:val="00A53A5C"/>
    <w:pPr>
      <w:bidi w:val="0"/>
      <w:jc w:val="right"/>
    </w:pPr>
    <w:rPr>
      <w:rFonts w:eastAsia="SimSun"/>
      <w:sz w:val="144"/>
      <w:szCs w:val="144"/>
      <w:lang w:val="fr-FR" w:eastAsia="zh-CN"/>
    </w:rPr>
  </w:style>
  <w:style w:type="paragraph" w:styleId="Pieddepage">
    <w:name w:val="footer"/>
    <w:basedOn w:val="Normal"/>
    <w:rsid w:val="00A53A5C"/>
    <w:pPr>
      <w:tabs>
        <w:tab w:val="center" w:pos="4153"/>
        <w:tab w:val="right" w:pos="8306"/>
      </w:tabs>
      <w:jc w:val="right"/>
    </w:pPr>
  </w:style>
  <w:style w:type="character" w:styleId="Numrodepage">
    <w:name w:val="page number"/>
    <w:basedOn w:val="Policepardfaut"/>
    <w:rsid w:val="00A53A5C"/>
  </w:style>
  <w:style w:type="paragraph" w:styleId="Textedebulles">
    <w:name w:val="Balloon Text"/>
    <w:basedOn w:val="Normal"/>
    <w:link w:val="TextedebullesCar"/>
    <w:rsid w:val="00363ABA"/>
    <w:rPr>
      <w:rFonts w:ascii="Tahoma" w:hAnsi="Tahoma" w:cs="Tahoma"/>
      <w:sz w:val="16"/>
      <w:szCs w:val="16"/>
    </w:rPr>
  </w:style>
  <w:style w:type="character" w:customStyle="1" w:styleId="TextedebullesCar">
    <w:name w:val="Texte de bulles Car"/>
    <w:basedOn w:val="Policepardfaut"/>
    <w:link w:val="Textedebulles"/>
    <w:rsid w:val="00363ABA"/>
    <w:rPr>
      <w:rFonts w:ascii="Tahoma" w:hAnsi="Tahoma" w:cs="Tahoma"/>
      <w:sz w:val="16"/>
      <w:szCs w:val="16"/>
      <w:lang w:val="en-US" w:eastAsia="en-US" w:bidi="ar-DZ"/>
    </w:rPr>
  </w:style>
  <w:style w:type="paragraph" w:styleId="Paragraphedeliste">
    <w:name w:val="List Paragraph"/>
    <w:basedOn w:val="Normal"/>
    <w:uiPriority w:val="34"/>
    <w:qFormat/>
    <w:rsid w:val="009C35BA"/>
    <w:pPr>
      <w:ind w:left="720"/>
      <w:contextualSpacing/>
    </w:pPr>
  </w:style>
  <w:style w:type="paragraph" w:styleId="NormalWeb">
    <w:name w:val="Normal (Web)"/>
    <w:basedOn w:val="Normal"/>
    <w:uiPriority w:val="99"/>
    <w:unhideWhenUsed/>
    <w:rsid w:val="00D50FD1"/>
    <w:pPr>
      <w:bidi w:val="0"/>
      <w:spacing w:before="100" w:beforeAutospacing="1" w:after="100" w:afterAutospacing="1"/>
    </w:pPr>
    <w:rPr>
      <w:lang w:val="fr-FR" w:eastAsia="fr-FR" w:bidi="ar-SA"/>
    </w:rPr>
  </w:style>
  <w:style w:type="paragraph" w:styleId="En-tte">
    <w:name w:val="header"/>
    <w:basedOn w:val="Normal"/>
    <w:link w:val="En-tteCar"/>
    <w:rsid w:val="00A80B5C"/>
    <w:pPr>
      <w:tabs>
        <w:tab w:val="center" w:pos="4536"/>
        <w:tab w:val="right" w:pos="9072"/>
      </w:tabs>
    </w:pPr>
  </w:style>
  <w:style w:type="character" w:customStyle="1" w:styleId="En-tteCar">
    <w:name w:val="En-tête Car"/>
    <w:basedOn w:val="Policepardfaut"/>
    <w:link w:val="En-tte"/>
    <w:rsid w:val="00A80B5C"/>
    <w:rPr>
      <w:sz w:val="24"/>
      <w:szCs w:val="24"/>
      <w:lang w:val="en-US"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472">
      <w:bodyDiv w:val="1"/>
      <w:marLeft w:val="0"/>
      <w:marRight w:val="0"/>
      <w:marTop w:val="0"/>
      <w:marBottom w:val="0"/>
      <w:divBdr>
        <w:top w:val="none" w:sz="0" w:space="0" w:color="auto"/>
        <w:left w:val="none" w:sz="0" w:space="0" w:color="auto"/>
        <w:bottom w:val="none" w:sz="0" w:space="0" w:color="auto"/>
        <w:right w:val="none" w:sz="0" w:space="0" w:color="auto"/>
      </w:divBdr>
    </w:div>
    <w:div w:id="3966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DAR ESSALAM</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2010-07-13T08:56:00Z</cp:lastPrinted>
  <dcterms:created xsi:type="dcterms:W3CDTF">2024-07-14T07:53:00Z</dcterms:created>
  <dcterms:modified xsi:type="dcterms:W3CDTF">2024-07-14T07:53:00Z</dcterms:modified>
</cp:coreProperties>
</file>