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7F6" w:rsidRPr="006437F6" w:rsidRDefault="006437F6" w:rsidP="0017585C">
      <w:pPr>
        <w:pStyle w:val="Sansinterligne"/>
        <w:rPr>
          <w:rtl/>
          <w:lang w:bidi="ar-DZ"/>
        </w:rPr>
      </w:pPr>
      <w:r w:rsidRPr="006437F6">
        <w:rPr>
          <w:lang w:val="en-US" w:bidi="ar-DZ"/>
        </w:rPr>
        <w:t>Ministry of Higher Education and Scientific Research</w:t>
      </w:r>
    </w:p>
    <w:p w:rsidR="006437F6" w:rsidRPr="006437F6" w:rsidRDefault="006437F6" w:rsidP="006437F6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University of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Oum</w:t>
      </w:r>
      <w:proofErr w:type="spellEnd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 xml:space="preserve"> El </w:t>
      </w:r>
      <w:proofErr w:type="spellStart"/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Bouaghi</w:t>
      </w:r>
      <w:proofErr w:type="spellEnd"/>
    </w:p>
    <w:p w:rsidR="006437F6" w:rsidRPr="006437F6" w:rsidRDefault="006437F6" w:rsidP="006437F6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6437F6" w:rsidRDefault="006437F6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F75F4A" w:rsidRPr="00F75F4A" w:rsidRDefault="00F75F4A" w:rsidP="00F75F4A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/2026</w:t>
      </w:r>
    </w:p>
    <w:p w:rsidR="0017585C" w:rsidRPr="0017585C" w:rsidRDefault="0017585C" w:rsidP="0017585C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bidi="ar-DZ"/>
        </w:rPr>
      </w:pPr>
      <w:r w:rsidRPr="0017585C">
        <w:rPr>
          <w:rStyle w:val="rynqvb"/>
          <w:b/>
          <w:bCs/>
        </w:rPr>
        <w:t xml:space="preserve">First </w:t>
      </w:r>
      <w:proofErr w:type="spellStart"/>
      <w:r w:rsidRPr="0017585C">
        <w:rPr>
          <w:rStyle w:val="rynqvb"/>
          <w:b/>
          <w:bCs/>
        </w:rPr>
        <w:t>semester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organization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card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Level</w:t>
      </w:r>
      <w:proofErr w:type="spellEnd"/>
      <w:r w:rsidRPr="0017585C">
        <w:rPr>
          <w:rStyle w:val="rynqvb"/>
          <w:b/>
          <w:bCs/>
        </w:rPr>
        <w:t>:</w:t>
      </w:r>
      <w:r w:rsidRPr="0017585C">
        <w:rPr>
          <w:rFonts w:ascii="Hacen Tunisia Lt" w:hAnsi="Hacen Tunisia Lt" w:cs="Hacen Tunisia Lt"/>
          <w:b/>
          <w:bCs/>
          <w:lang w:val="en-US" w:bidi="ar-DZ"/>
        </w:rPr>
        <w:t xml:space="preserve"> first year masters degree</w:t>
      </w:r>
      <w:r w:rsidRPr="0017585C">
        <w:rPr>
          <w:rStyle w:val="rynqvb"/>
          <w:b/>
          <w:bCs/>
        </w:rPr>
        <w:t xml:space="preserve">, </w:t>
      </w:r>
      <w:proofErr w:type="spellStart"/>
      <w:r w:rsidRPr="0017585C">
        <w:rPr>
          <w:rStyle w:val="rynqvb"/>
          <w:b/>
          <w:bCs/>
        </w:rPr>
        <w:t>literary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Studies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branch</w:t>
      </w:r>
      <w:proofErr w:type="spellEnd"/>
      <w:r w:rsidRPr="0017585C">
        <w:rPr>
          <w:rStyle w:val="rynqvb"/>
          <w:b/>
          <w:bCs/>
        </w:rPr>
        <w:t xml:space="preserve">: </w:t>
      </w:r>
      <w:proofErr w:type="spellStart"/>
      <w:r w:rsidRPr="0017585C">
        <w:rPr>
          <w:rStyle w:val="rynqvb"/>
          <w:b/>
          <w:bCs/>
        </w:rPr>
        <w:t>classic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arab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literary</w:t>
      </w:r>
      <w:proofErr w:type="spellEnd"/>
      <w:r w:rsidRPr="0017585C">
        <w:rPr>
          <w:rStyle w:val="rynqvb"/>
          <w:b/>
          <w:bCs/>
        </w:rPr>
        <w:t xml:space="preserve"> </w:t>
      </w:r>
      <w:proofErr w:type="spellStart"/>
      <w:r w:rsidRPr="0017585C">
        <w:rPr>
          <w:rStyle w:val="rynqvb"/>
          <w:b/>
          <w:bCs/>
        </w:rPr>
        <w:t>specialization</w:t>
      </w:r>
      <w:proofErr w:type="spellEnd"/>
    </w:p>
    <w:p w:rsidR="00441AA5" w:rsidRPr="00441AA5" w:rsidRDefault="00441AA5" w:rsidP="00D70A4E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</w:p>
    <w:p w:rsidR="00441AA5" w:rsidRPr="006437F6" w:rsidRDefault="00441AA5" w:rsidP="006437F6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lang w:val="en-US" w:bidi="ar-DZ"/>
        </w:rPr>
      </w:pPr>
    </w:p>
    <w:tbl>
      <w:tblPr>
        <w:tblStyle w:val="Grille1"/>
        <w:bidiVisual/>
        <w:tblW w:w="15632" w:type="dxa"/>
        <w:jc w:val="center"/>
        <w:tblInd w:w="-418" w:type="dxa"/>
        <w:tblLayout w:type="fixed"/>
        <w:tblLook w:val="04A0"/>
      </w:tblPr>
      <w:tblGrid>
        <w:gridCol w:w="4185"/>
        <w:gridCol w:w="1276"/>
        <w:gridCol w:w="1719"/>
        <w:gridCol w:w="2041"/>
        <w:gridCol w:w="2137"/>
        <w:gridCol w:w="2137"/>
        <w:gridCol w:w="1068"/>
        <w:gridCol w:w="1069"/>
      </w:tblGrid>
      <w:tr w:rsidR="006437F6" w:rsidRPr="008B519E" w:rsidTr="00D8152F">
        <w:trPr>
          <w:trHeight w:val="200"/>
          <w:jc w:val="center"/>
        </w:trPr>
        <w:tc>
          <w:tcPr>
            <w:tcW w:w="418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DF4150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Units and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ther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components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DF4150" w:rsidP="00DF415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lectures weekly</w:t>
            </w:r>
          </w:p>
        </w:tc>
        <w:tc>
          <w:tcPr>
            <w:tcW w:w="171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DF4150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Number of tasks directed weekly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E9226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Number of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pratical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tasks weekly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6437F6" w:rsidRPr="008B519E" w:rsidRDefault="00E9226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coefficient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17585C" w:rsidRPr="00482479" w:rsidRDefault="0017585C" w:rsidP="0017585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spellStart"/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credits</w:t>
            </w:r>
            <w:proofErr w:type="spellEnd"/>
          </w:p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Pr="008B519E" w:rsidRDefault="0017585C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proofErr w:type="spellStart"/>
            <w:r w:rsidRPr="00A8198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Weights</w:t>
            </w:r>
            <w:proofErr w:type="spellEnd"/>
          </w:p>
        </w:tc>
      </w:tr>
      <w:tr w:rsidR="006437F6" w:rsidRPr="008B519E" w:rsidTr="00D8152F">
        <w:trPr>
          <w:trHeight w:val="200"/>
          <w:jc w:val="center"/>
        </w:trPr>
        <w:tc>
          <w:tcPr>
            <w:tcW w:w="4185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719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6437F6" w:rsidRDefault="006437F6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E9226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val="en-US" w:bidi="ar-DZ"/>
              </w:rPr>
              <w:t>lectures</w:t>
            </w:r>
            <w:r w:rsidR="006437F6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6437F6" w:rsidRDefault="0017585C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482479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tutorial</w:t>
            </w:r>
          </w:p>
        </w:tc>
      </w:tr>
      <w:tr w:rsidR="006437F6" w:rsidRPr="008B519E" w:rsidTr="00D8152F">
        <w:trPr>
          <w:trHeight w:val="20"/>
          <w:jc w:val="center"/>
        </w:trPr>
        <w:tc>
          <w:tcPr>
            <w:tcW w:w="4185" w:type="dxa"/>
            <w:shd w:val="clear" w:color="auto" w:fill="DBE5F1" w:themeFill="accent1" w:themeFillTint="33"/>
          </w:tcPr>
          <w:p w:rsidR="006437F6" w:rsidRPr="0017585C" w:rsidRDefault="00D70A4E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17585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>Fundamental teaching unit 1 and 2</w:t>
            </w:r>
          </w:p>
        </w:tc>
        <w:tc>
          <w:tcPr>
            <w:tcW w:w="11447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D64DDD" w:rsidRPr="008B519E" w:rsidTr="00D8152F">
        <w:trPr>
          <w:trHeight w:val="20"/>
          <w:jc w:val="center"/>
        </w:trPr>
        <w:tc>
          <w:tcPr>
            <w:tcW w:w="4185" w:type="dxa"/>
            <w:vAlign w:val="center"/>
          </w:tcPr>
          <w:p w:rsidR="00D64DDD" w:rsidRDefault="0017585C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Article1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D8152F" w:rsidRPr="00D8152F">
              <w:rPr>
                <w:b/>
                <w:sz w:val="28"/>
                <w:szCs w:val="28"/>
              </w:rPr>
              <w:t xml:space="preserve">The structure of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ancient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Arabic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poetic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discourse</w:t>
            </w:r>
            <w:proofErr w:type="spellEnd"/>
          </w:p>
        </w:tc>
        <w:tc>
          <w:tcPr>
            <w:tcW w:w="1276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2137" w:type="dxa"/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068" w:type="dxa"/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4DDD" w:rsidRPr="008B519E" w:rsidTr="00D8152F">
        <w:trPr>
          <w:trHeight w:val="395"/>
          <w:jc w:val="center"/>
        </w:trPr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D64DDD" w:rsidRDefault="0017585C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Article2</w:t>
            </w:r>
            <w:r>
              <w:rPr>
                <w:b/>
                <w:sz w:val="28"/>
                <w:szCs w:val="28"/>
              </w:rPr>
              <w:t xml:space="preserve">: </w:t>
            </w:r>
            <w:r w:rsidR="00D8152F" w:rsidRPr="00D8152F">
              <w:rPr>
                <w:b/>
                <w:sz w:val="28"/>
                <w:szCs w:val="28"/>
              </w:rPr>
              <w:t xml:space="preserve">The structure of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ancient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Arabic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poetic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and prose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discourse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4DDD" w:rsidRPr="008B519E" w:rsidTr="00D8152F">
        <w:trPr>
          <w:trHeight w:val="78"/>
          <w:jc w:val="center"/>
        </w:trPr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17585C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Article3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Old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Arabic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Poetry</w:t>
            </w:r>
            <w:proofErr w:type="spellEnd"/>
            <w:r w:rsidR="00D8152F" w:rsidRPr="00D8152F">
              <w:rPr>
                <w:b/>
                <w:sz w:val="28"/>
                <w:szCs w:val="28"/>
              </w:rPr>
              <w:t xml:space="preserve"> and New </w:t>
            </w:r>
            <w:proofErr w:type="spellStart"/>
            <w:r w:rsidR="00D8152F" w:rsidRPr="00D8152F">
              <w:rPr>
                <w:b/>
                <w:sz w:val="28"/>
                <w:szCs w:val="28"/>
              </w:rPr>
              <w:t>Criticism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  <w:tr w:rsidR="00D64DDD" w:rsidRPr="008B519E" w:rsidTr="00D8152F">
        <w:trPr>
          <w:trHeight w:val="330"/>
          <w:jc w:val="center"/>
        </w:trPr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CD40B0" w:rsidP="0017585C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 xml:space="preserve">structure 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intellectual</w:t>
            </w:r>
            <w:proofErr w:type="spellEnd"/>
            <w:r w:rsidR="00D64DDD"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  <w:r w:rsidR="0017585C">
              <w:rPr>
                <w:rFonts w:cs="Arabic Transparent"/>
                <w:b/>
                <w:sz w:val="28"/>
                <w:szCs w:val="28"/>
              </w:rPr>
              <w:t>Article1</w:t>
            </w:r>
            <w:r w:rsidR="0017585C">
              <w:rPr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islamic</w:t>
            </w:r>
            <w:proofErr w:type="spellEnd"/>
            <w:r>
              <w:rPr>
                <w:rFonts w:cs="Arabic Transparent"/>
                <w:b/>
                <w:sz w:val="28"/>
                <w:szCs w:val="28"/>
              </w:rPr>
              <w:t xml:space="preserve"> and 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literature</w:t>
            </w:r>
            <w:proofErr w:type="spellEnd"/>
            <w:r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pre</w:t>
            </w:r>
            <w:proofErr w:type="spellEnd"/>
            <w:r>
              <w:rPr>
                <w:rFonts w:cs="Arabic Transparent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islamic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D82F11" w:rsidRDefault="00D64DD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Cs/>
                <w:sz w:val="28"/>
                <w:szCs w:val="28"/>
              </w:rPr>
            </w:pPr>
            <w:r>
              <w:rPr>
                <w:rFonts w:cs="Arabic Transparent"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DDD" w:rsidRDefault="00D64DD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64DDD" w:rsidRPr="00C86AE1" w:rsidRDefault="00D64DDD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6437F6" w:rsidRPr="008B519E" w:rsidTr="00D8152F">
        <w:trPr>
          <w:trHeight w:val="20"/>
          <w:jc w:val="center"/>
        </w:trPr>
        <w:tc>
          <w:tcPr>
            <w:tcW w:w="4185" w:type="dxa"/>
            <w:shd w:val="clear" w:color="auto" w:fill="DBE5F1" w:themeFill="accent1" w:themeFillTint="33"/>
          </w:tcPr>
          <w:p w:rsidR="006437F6" w:rsidRPr="0017585C" w:rsidRDefault="00D70A4E" w:rsidP="0017585C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17585C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Methodological teaching unit  </w:t>
            </w:r>
          </w:p>
        </w:tc>
        <w:tc>
          <w:tcPr>
            <w:tcW w:w="11447" w:type="dxa"/>
            <w:gridSpan w:val="7"/>
            <w:shd w:val="clear" w:color="auto" w:fill="DBE5F1" w:themeFill="accent1" w:themeFillTint="33"/>
          </w:tcPr>
          <w:p w:rsidR="006437F6" w:rsidRPr="008B519E" w:rsidRDefault="006437F6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D66013" w:rsidRPr="008B519E" w:rsidTr="00D8152F">
        <w:trPr>
          <w:trHeight w:val="457"/>
          <w:jc w:val="center"/>
        </w:trPr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D66013" w:rsidRDefault="0017585C" w:rsidP="0017585C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lastRenderedPageBreak/>
              <w:t>Article1</w:t>
            </w:r>
            <w:r>
              <w:rPr>
                <w:b/>
                <w:sz w:val="28"/>
                <w:szCs w:val="28"/>
              </w:rPr>
              <w:t>:</w:t>
            </w:r>
            <w:r w:rsidR="00D8152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research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methodology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and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its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problems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6013" w:rsidRPr="008B519E" w:rsidTr="00D8152F">
        <w:trPr>
          <w:trHeight w:val="205"/>
          <w:jc w:val="center"/>
        </w:trPr>
        <w:tc>
          <w:tcPr>
            <w:tcW w:w="4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sz w:val="28"/>
                <w:szCs w:val="28"/>
                <w:rtl/>
              </w:rPr>
              <w:t xml:space="preserve"> </w:t>
            </w:r>
            <w:r w:rsidR="00D8152F">
              <w:rPr>
                <w:rFonts w:cs="Arabic Transparent"/>
                <w:b/>
                <w:sz w:val="28"/>
                <w:szCs w:val="28"/>
              </w:rPr>
              <w:t>Article 2</w:t>
            </w:r>
            <w:r w:rsidR="00D8152F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reading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strategies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01</w:t>
            </w:r>
          </w:p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40%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66013" w:rsidRPr="00C86AE1" w:rsidRDefault="00D66013" w:rsidP="00DF0E3A">
            <w:pPr>
              <w:jc w:val="center"/>
              <w:rPr>
                <w:b/>
                <w:bCs/>
              </w:rPr>
            </w:pPr>
            <w:r w:rsidRPr="00C86AE1">
              <w:rPr>
                <w:rFonts w:ascii="Calibri" w:hAnsi="Calibri"/>
                <w:b/>
                <w:bCs/>
              </w:rPr>
              <w:t>60%</w:t>
            </w:r>
          </w:p>
        </w:tc>
      </w:tr>
      <w:tr w:rsidR="00D66013" w:rsidRPr="008B519E" w:rsidTr="00D8152F">
        <w:trPr>
          <w:trHeight w:val="78"/>
          <w:jc w:val="center"/>
        </w:trPr>
        <w:tc>
          <w:tcPr>
            <w:tcW w:w="4185" w:type="dxa"/>
            <w:tcBorders>
              <w:top w:val="single" w:sz="4" w:space="0" w:color="auto"/>
            </w:tcBorders>
            <w:vAlign w:val="center"/>
          </w:tcPr>
          <w:p w:rsidR="00D66013" w:rsidRDefault="00D8152F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 3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bibliography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of </w:t>
            </w:r>
            <w:proofErr w:type="spellStart"/>
            <w:r>
              <w:rPr>
                <w:rFonts w:cs="Arabic Transparent"/>
                <w:b/>
                <w:sz w:val="28"/>
                <w:szCs w:val="28"/>
              </w:rPr>
              <w:t>classic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arab</w:t>
            </w:r>
            <w:proofErr w:type="spellEnd"/>
            <w:r w:rsidR="00CD40B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CD40B0">
              <w:rPr>
                <w:rFonts w:cs="Arabic Transparent"/>
                <w:b/>
                <w:sz w:val="28"/>
                <w:szCs w:val="28"/>
              </w:rPr>
              <w:t>literature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66013" w:rsidRPr="00791F4A" w:rsidRDefault="00D66013" w:rsidP="00B6533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D66013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D66013" w:rsidRPr="00D82F11" w:rsidRDefault="00D66013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D66013" w:rsidRDefault="00D66013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D66013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  <w:tr w:rsidR="00615AFE" w:rsidRPr="008B519E" w:rsidTr="00D8152F">
        <w:trPr>
          <w:trHeight w:val="20"/>
          <w:jc w:val="center"/>
        </w:trPr>
        <w:tc>
          <w:tcPr>
            <w:tcW w:w="4185" w:type="dxa"/>
            <w:shd w:val="clear" w:color="auto" w:fill="DBE5F1" w:themeFill="accent1" w:themeFillTint="33"/>
          </w:tcPr>
          <w:p w:rsidR="00615AFE" w:rsidRPr="00D8152F" w:rsidRDefault="00D70A4E" w:rsidP="0017585C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D8152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Discovery </w:t>
            </w:r>
            <w:r w:rsidR="009077C4" w:rsidRPr="00D8152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teaching unit  </w:t>
            </w:r>
          </w:p>
        </w:tc>
        <w:tc>
          <w:tcPr>
            <w:tcW w:w="11447" w:type="dxa"/>
            <w:gridSpan w:val="7"/>
            <w:shd w:val="clear" w:color="auto" w:fill="DBE5F1" w:themeFill="accent1" w:themeFillTint="33"/>
          </w:tcPr>
          <w:p w:rsidR="00615AFE" w:rsidRPr="008B519E" w:rsidRDefault="00615AFE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EB335D" w:rsidRPr="008B519E" w:rsidTr="00D8152F">
        <w:trPr>
          <w:trHeight w:val="339"/>
          <w:jc w:val="center"/>
        </w:trPr>
        <w:tc>
          <w:tcPr>
            <w:tcW w:w="4185" w:type="dxa"/>
            <w:tcBorders>
              <w:bottom w:val="single" w:sz="4" w:space="0" w:color="auto"/>
            </w:tcBorders>
            <w:vAlign w:val="center"/>
          </w:tcPr>
          <w:p w:rsidR="00EB335D" w:rsidRDefault="00D8152F" w:rsidP="0017585C">
            <w:pPr>
              <w:bidi/>
              <w:jc w:val="right"/>
              <w:rPr>
                <w:rFonts w:cs="Arabic Transparent"/>
                <w:b/>
                <w:sz w:val="28"/>
                <w:szCs w:val="28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Article1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F4150">
              <w:rPr>
                <w:rFonts w:cs="Arabic Transparent"/>
                <w:b/>
                <w:sz w:val="28"/>
                <w:szCs w:val="28"/>
              </w:rPr>
              <w:t>specialized</w:t>
            </w:r>
            <w:proofErr w:type="spellEnd"/>
            <w:r w:rsidR="00DF4150">
              <w:rPr>
                <w:rFonts w:cs="Arabic Transparent"/>
                <w:b/>
                <w:sz w:val="28"/>
                <w:szCs w:val="28"/>
              </w:rPr>
              <w:t xml:space="preserve"> translation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B335D" w:rsidRPr="000A25B8" w:rsidRDefault="00EB335D" w:rsidP="00615AFE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  <w:r w:rsidRPr="000A25B8"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EB335D" w:rsidRPr="008B519E" w:rsidRDefault="00EB335D" w:rsidP="00B6533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</w:tr>
      <w:tr w:rsidR="00EB335D" w:rsidRPr="008B519E" w:rsidTr="00D8152F">
        <w:trPr>
          <w:trHeight w:val="108"/>
          <w:jc w:val="center"/>
        </w:trPr>
        <w:tc>
          <w:tcPr>
            <w:tcW w:w="4185" w:type="dxa"/>
            <w:tcBorders>
              <w:top w:val="single" w:sz="4" w:space="0" w:color="auto"/>
            </w:tcBorders>
            <w:vAlign w:val="center"/>
          </w:tcPr>
          <w:p w:rsidR="00EB335D" w:rsidRDefault="00D8152F" w:rsidP="00D8152F">
            <w:pPr>
              <w:bidi/>
              <w:jc w:val="right"/>
              <w:rPr>
                <w:rFonts w:cs="Arabic Transparent"/>
                <w:b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Article2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F4150">
              <w:rPr>
                <w:rFonts w:cs="Arabic Transparent"/>
                <w:b/>
                <w:sz w:val="28"/>
                <w:szCs w:val="28"/>
              </w:rPr>
              <w:t>entrepreneurship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EB335D" w:rsidRPr="000A25B8" w:rsidRDefault="00EB335D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EB335D" w:rsidRDefault="00EB335D" w:rsidP="00B6533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C86AE1">
              <w:rPr>
                <w:b/>
                <w:bCs/>
              </w:rPr>
              <w:t>100%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vAlign w:val="center"/>
          </w:tcPr>
          <w:p w:rsidR="00EB335D" w:rsidRDefault="00EB335D" w:rsidP="00DF0E3A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15AFE" w:rsidRPr="008B519E" w:rsidTr="00D8152F">
        <w:trPr>
          <w:trHeight w:val="20"/>
          <w:jc w:val="center"/>
        </w:trPr>
        <w:tc>
          <w:tcPr>
            <w:tcW w:w="4185" w:type="dxa"/>
            <w:shd w:val="clear" w:color="auto" w:fill="DBE5F1" w:themeFill="accent1" w:themeFillTint="33"/>
          </w:tcPr>
          <w:p w:rsidR="00615AFE" w:rsidRPr="00D8152F" w:rsidRDefault="009077C4" w:rsidP="0017585C">
            <w:pPr>
              <w:bidi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D8152F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Transversal teaching unit </w:t>
            </w:r>
          </w:p>
        </w:tc>
        <w:tc>
          <w:tcPr>
            <w:tcW w:w="11447" w:type="dxa"/>
            <w:gridSpan w:val="7"/>
            <w:shd w:val="clear" w:color="auto" w:fill="DBE5F1" w:themeFill="accent1" w:themeFillTint="33"/>
          </w:tcPr>
          <w:p w:rsidR="00615AFE" w:rsidRPr="00D8152F" w:rsidRDefault="00615AFE" w:rsidP="00B6533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val="en-US" w:bidi="ar-DZ"/>
              </w:rPr>
            </w:pPr>
          </w:p>
        </w:tc>
      </w:tr>
      <w:tr w:rsidR="00615AFE" w:rsidRPr="008B519E" w:rsidTr="00D8152F">
        <w:trPr>
          <w:trHeight w:val="260"/>
          <w:jc w:val="center"/>
        </w:trPr>
        <w:tc>
          <w:tcPr>
            <w:tcW w:w="4185" w:type="dxa"/>
            <w:tcBorders>
              <w:bottom w:val="single" w:sz="4" w:space="0" w:color="auto"/>
            </w:tcBorders>
          </w:tcPr>
          <w:p w:rsidR="00615AFE" w:rsidRPr="00742B38" w:rsidRDefault="00D8152F" w:rsidP="0017585C">
            <w:pPr>
              <w:shd w:val="clear" w:color="auto" w:fill="FFFFFF"/>
              <w:bidi/>
              <w:ind w:left="360" w:hanging="360"/>
              <w:contextualSpacing/>
              <w:jc w:val="right"/>
              <w:rPr>
                <w:rFonts w:ascii="Sakkal Majalla" w:hAnsi="Sakkal Majalla" w:cs="Sakkal Majalla"/>
                <w:color w:val="212529"/>
                <w:sz w:val="40"/>
                <w:szCs w:val="40"/>
                <w:rtl/>
                <w:lang w:val="en-US" w:eastAsia="en-US" w:bidi="ar-DZ"/>
              </w:rPr>
            </w:pPr>
            <w:r>
              <w:rPr>
                <w:rFonts w:cs="Arabic Transparent"/>
                <w:b/>
                <w:sz w:val="28"/>
                <w:szCs w:val="28"/>
              </w:rPr>
              <w:t>Article1</w:t>
            </w:r>
            <w:r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F4150">
              <w:rPr>
                <w:rFonts w:cs="Arabic Transparent"/>
                <w:b/>
                <w:sz w:val="28"/>
                <w:szCs w:val="28"/>
              </w:rPr>
              <w:t>foreign</w:t>
            </w:r>
            <w:proofErr w:type="spellEnd"/>
            <w:r w:rsidR="00DF4150">
              <w:rPr>
                <w:rFonts w:cs="Arabic Transparent"/>
                <w:b/>
                <w:sz w:val="28"/>
                <w:szCs w:val="28"/>
              </w:rPr>
              <w:t xml:space="preserve"> </w:t>
            </w:r>
            <w:proofErr w:type="spellStart"/>
            <w:r w:rsidR="00DF4150">
              <w:rPr>
                <w:rFonts w:cs="Arabic Transparent"/>
                <w:b/>
                <w:sz w:val="28"/>
                <w:szCs w:val="28"/>
              </w:rPr>
              <w:t>language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5AFE" w:rsidRPr="00D82F11" w:rsidRDefault="00A97A32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615AFE" w:rsidRPr="00D82F11" w:rsidRDefault="00615AFE" w:rsidP="00B6533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615AFE" w:rsidRDefault="00615AFE" w:rsidP="00B6533B">
            <w:pPr>
              <w:jc w:val="center"/>
            </w:pPr>
            <w:r w:rsidRPr="00726D05">
              <w:rPr>
                <w:rFonts w:ascii="Simplified Arabic" w:hAnsi="Simplified Arabic" w:cs="Simplified Arabic" w:hint="cs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B6533B">
            <w:pPr>
              <w:ind w:right="41"/>
              <w:jc w:val="center"/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AFE" w:rsidRDefault="00615AFE" w:rsidP="00E3445F">
            <w:pPr>
              <w:ind w:right="41"/>
              <w:jc w:val="center"/>
              <w:rPr>
                <w:b/>
                <w:sz w:val="20"/>
              </w:rPr>
            </w:pPr>
            <w:r w:rsidRPr="00615AFE">
              <w:rPr>
                <w:rFonts w:hint="cs"/>
                <w:bCs/>
                <w:rtl/>
              </w:rPr>
              <w:t>100</w:t>
            </w:r>
            <w:r w:rsidRPr="00615AFE">
              <w:rPr>
                <w:b/>
              </w:rPr>
              <w:t>%</w:t>
            </w:r>
          </w:p>
        </w:tc>
      </w:tr>
    </w:tbl>
    <w:p w:rsid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bidi="ar-DZ"/>
        </w:rPr>
      </w:pPr>
    </w:p>
    <w:p w:rsidR="00B42D56" w:rsidRPr="00B42D56" w:rsidRDefault="00B42D56" w:rsidP="00B42D56">
      <w:pPr>
        <w:jc w:val="center"/>
        <w:rPr>
          <w:sz w:val="36"/>
          <w:szCs w:val="36"/>
          <w:bdr w:val="none" w:sz="0" w:space="0" w:color="auto" w:frame="1"/>
          <w:rtl/>
          <w:lang w:val="en-US" w:bidi="ar-DZ"/>
        </w:rPr>
      </w:pPr>
    </w:p>
    <w:p w:rsidR="00D8152F" w:rsidRPr="00B42D56" w:rsidRDefault="00D8152F" w:rsidP="00D8152F">
      <w:pPr>
        <w:jc w:val="center"/>
        <w:rPr>
          <w:sz w:val="36"/>
          <w:szCs w:val="36"/>
          <w:bdr w:val="none" w:sz="0" w:space="0" w:color="auto" w:frame="1"/>
          <w:rtl/>
          <w:lang w:val="en-US" w:bidi="ar-DZ"/>
        </w:rPr>
      </w:pPr>
    </w:p>
    <w:p w:rsidR="00D8152F" w:rsidRDefault="00D8152F" w:rsidP="00D8152F">
      <w:pPr>
        <w:rPr>
          <w:bdr w:val="none" w:sz="0" w:space="0" w:color="auto" w:frame="1"/>
          <w:lang w:val="en-US" w:bidi="ar-DZ"/>
        </w:rPr>
      </w:pPr>
      <w:r>
        <w:rPr>
          <w:bdr w:val="none" w:sz="0" w:space="0" w:color="auto" w:frame="1"/>
          <w:lang w:val="en-US" w:bidi="ar-DZ"/>
        </w:rPr>
        <w:t>Specialization Head</w:t>
      </w:r>
      <w:r w:rsidRPr="0066569C">
        <w:rPr>
          <w:sz w:val="32"/>
          <w:szCs w:val="32"/>
          <w:bdr w:val="none" w:sz="0" w:space="0" w:color="auto" w:frame="1"/>
          <w:lang w:val="en-US" w:bidi="ar-DZ"/>
        </w:rPr>
        <w:t xml:space="preserve">: Prof. Dr. </w:t>
      </w:r>
      <w:proofErr w:type="spellStart"/>
      <w:r>
        <w:rPr>
          <w:sz w:val="32"/>
          <w:szCs w:val="32"/>
          <w:bdr w:val="none" w:sz="0" w:space="0" w:color="auto" w:frame="1"/>
          <w:lang w:val="en-US" w:bidi="ar-DZ"/>
        </w:rPr>
        <w:t>Mehoui</w:t>
      </w:r>
      <w:proofErr w:type="spellEnd"/>
      <w:r>
        <w:rPr>
          <w:sz w:val="32"/>
          <w:szCs w:val="32"/>
          <w:bdr w:val="none" w:sz="0" w:space="0" w:color="auto" w:frame="1"/>
          <w:lang w:val="en-US" w:bidi="ar-DZ"/>
        </w:rPr>
        <w:t xml:space="preserve"> </w:t>
      </w:r>
      <w:proofErr w:type="spellStart"/>
      <w:r>
        <w:rPr>
          <w:sz w:val="32"/>
          <w:szCs w:val="32"/>
          <w:bdr w:val="none" w:sz="0" w:space="0" w:color="auto" w:frame="1"/>
          <w:lang w:val="en-US" w:bidi="ar-DZ"/>
        </w:rPr>
        <w:t>Rabah</w:t>
      </w:r>
      <w:proofErr w:type="spellEnd"/>
    </w:p>
    <w:p w:rsidR="00D8152F" w:rsidRDefault="00D8152F" w:rsidP="00D8152F">
      <w:pPr>
        <w:rPr>
          <w:bdr w:val="none" w:sz="0" w:space="0" w:color="auto" w:frame="1"/>
          <w:lang w:val="en-US" w:bidi="ar-DZ"/>
        </w:rPr>
      </w:pPr>
    </w:p>
    <w:p w:rsidR="00D8152F" w:rsidRDefault="00D8152F" w:rsidP="00D8152F">
      <w:pPr>
        <w:rPr>
          <w:rtl/>
          <w:lang w:bidi="ar-DZ"/>
        </w:rPr>
      </w:pPr>
      <w:r>
        <w:rPr>
          <w:lang w:bidi="ar-DZ"/>
        </w:rPr>
        <w:t xml:space="preserve">Note: This </w:t>
      </w:r>
      <w:proofErr w:type="spellStart"/>
      <w:r>
        <w:rPr>
          <w:lang w:bidi="ar-DZ"/>
        </w:rPr>
        <w:t>is</w:t>
      </w:r>
      <w:proofErr w:type="spellEnd"/>
      <w:r>
        <w:rPr>
          <w:lang w:bidi="ar-DZ"/>
        </w:rPr>
        <w:t xml:space="preserve"> </w:t>
      </w:r>
      <w:proofErr w:type="spellStart"/>
      <w:r>
        <w:rPr>
          <w:lang w:bidi="ar-DZ"/>
        </w:rPr>
        <w:t>completed</w:t>
      </w:r>
      <w:proofErr w:type="spellEnd"/>
      <w:r>
        <w:rPr>
          <w:lang w:bidi="ar-DZ"/>
        </w:rPr>
        <w:t xml:space="preserve"> by the </w:t>
      </w:r>
      <w:proofErr w:type="spellStart"/>
      <w:r>
        <w:rPr>
          <w:lang w:bidi="ar-DZ"/>
        </w:rPr>
        <w:t>specialization</w:t>
      </w:r>
      <w:proofErr w:type="spellEnd"/>
      <w:r>
        <w:rPr>
          <w:lang w:bidi="ar-DZ"/>
        </w:rPr>
        <w:t xml:space="preserve"> official, </w:t>
      </w:r>
      <w:proofErr w:type="spellStart"/>
      <w:r>
        <w:rPr>
          <w:lang w:bidi="ar-DZ"/>
        </w:rPr>
        <w:t>referring</w:t>
      </w:r>
      <w:proofErr w:type="spellEnd"/>
      <w:r>
        <w:rPr>
          <w:lang w:bidi="ar-DZ"/>
        </w:rPr>
        <w:t xml:space="preserve"> to the </w:t>
      </w:r>
      <w:proofErr w:type="spellStart"/>
      <w:r>
        <w:rPr>
          <w:lang w:bidi="ar-DZ"/>
        </w:rPr>
        <w:t>approved</w:t>
      </w:r>
      <w:proofErr w:type="spellEnd"/>
      <w:r>
        <w:rPr>
          <w:lang w:bidi="ar-DZ"/>
        </w:rPr>
        <w:t xml:space="preserve"> training </w:t>
      </w:r>
      <w:proofErr w:type="spellStart"/>
      <w:r>
        <w:rPr>
          <w:lang w:bidi="ar-DZ"/>
        </w:rPr>
        <w:t>offer</w:t>
      </w:r>
      <w:proofErr w:type="spellEnd"/>
    </w:p>
    <w:p w:rsidR="00D8152F" w:rsidRDefault="00D8152F" w:rsidP="00D8152F">
      <w:pPr>
        <w:jc w:val="right"/>
        <w:rPr>
          <w:lang w:bidi="ar-DZ"/>
        </w:rPr>
      </w:pPr>
      <w:r>
        <w:rPr>
          <w:lang w:bidi="ar-DZ"/>
        </w:rPr>
        <w:t>.</w:t>
      </w:r>
    </w:p>
    <w:p w:rsidR="00D8152F" w:rsidRDefault="00D8152F" w:rsidP="00D8152F">
      <w:pPr>
        <w:jc w:val="right"/>
        <w:rPr>
          <w:lang w:bidi="ar-DZ"/>
        </w:rPr>
      </w:pPr>
      <w:r>
        <w:rPr>
          <w:bdr w:val="none" w:sz="0" w:space="0" w:color="auto" w:frame="1"/>
          <w:lang w:val="en-US" w:bidi="ar-DZ"/>
        </w:rPr>
        <w:t xml:space="preserve"> Head of Department</w:t>
      </w:r>
    </w:p>
    <w:p w:rsidR="00530270" w:rsidRPr="00B42D56" w:rsidRDefault="00530270" w:rsidP="00B42D56">
      <w:pPr>
        <w:jc w:val="right"/>
        <w:rPr>
          <w:sz w:val="36"/>
          <w:szCs w:val="36"/>
          <w:bdr w:val="none" w:sz="0" w:space="0" w:color="auto" w:frame="1"/>
          <w:rtl/>
          <w:lang w:val="en-US" w:bidi="ar-DZ"/>
        </w:rPr>
      </w:pPr>
    </w:p>
    <w:sectPr w:rsidR="00530270" w:rsidRPr="00B42D56" w:rsidSect="00F75F4A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A1B" w:rsidRDefault="004F0A1B" w:rsidP="00A56D51">
      <w:r>
        <w:separator/>
      </w:r>
    </w:p>
  </w:endnote>
  <w:endnote w:type="continuationSeparator" w:id="1">
    <w:p w:rsidR="004F0A1B" w:rsidRDefault="004F0A1B" w:rsidP="00A56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A1B" w:rsidRDefault="004F0A1B" w:rsidP="00A56D51">
      <w:r>
        <w:separator/>
      </w:r>
    </w:p>
  </w:footnote>
  <w:footnote w:type="continuationSeparator" w:id="1">
    <w:p w:rsidR="004F0A1B" w:rsidRDefault="004F0A1B" w:rsidP="00A56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03900"/>
    <w:rsid w:val="00052E08"/>
    <w:rsid w:val="00102D96"/>
    <w:rsid w:val="001207C5"/>
    <w:rsid w:val="00133EC7"/>
    <w:rsid w:val="00140B1F"/>
    <w:rsid w:val="0017585C"/>
    <w:rsid w:val="00181210"/>
    <w:rsid w:val="001B57DE"/>
    <w:rsid w:val="001C16A4"/>
    <w:rsid w:val="00205AC4"/>
    <w:rsid w:val="0022763C"/>
    <w:rsid w:val="002455E4"/>
    <w:rsid w:val="0025685F"/>
    <w:rsid w:val="00281549"/>
    <w:rsid w:val="002A13E3"/>
    <w:rsid w:val="002A5F4C"/>
    <w:rsid w:val="00301A6F"/>
    <w:rsid w:val="00303054"/>
    <w:rsid w:val="003063A2"/>
    <w:rsid w:val="00356C5D"/>
    <w:rsid w:val="003E4A01"/>
    <w:rsid w:val="00425411"/>
    <w:rsid w:val="00427AD8"/>
    <w:rsid w:val="00441AA5"/>
    <w:rsid w:val="00446B2C"/>
    <w:rsid w:val="00483FE2"/>
    <w:rsid w:val="00491D70"/>
    <w:rsid w:val="004A47B4"/>
    <w:rsid w:val="004F0A1B"/>
    <w:rsid w:val="005023BA"/>
    <w:rsid w:val="00522158"/>
    <w:rsid w:val="00530270"/>
    <w:rsid w:val="0058075F"/>
    <w:rsid w:val="005F6AB5"/>
    <w:rsid w:val="00615AFE"/>
    <w:rsid w:val="006316C9"/>
    <w:rsid w:val="00636270"/>
    <w:rsid w:val="00636FC9"/>
    <w:rsid w:val="006437F6"/>
    <w:rsid w:val="006537FA"/>
    <w:rsid w:val="0067692B"/>
    <w:rsid w:val="006E61E0"/>
    <w:rsid w:val="006F3F24"/>
    <w:rsid w:val="0070155B"/>
    <w:rsid w:val="00702A41"/>
    <w:rsid w:val="0072003A"/>
    <w:rsid w:val="00742B38"/>
    <w:rsid w:val="0074727B"/>
    <w:rsid w:val="00770EA0"/>
    <w:rsid w:val="00791F4A"/>
    <w:rsid w:val="0081402B"/>
    <w:rsid w:val="00825B2D"/>
    <w:rsid w:val="00870863"/>
    <w:rsid w:val="00904240"/>
    <w:rsid w:val="009077C4"/>
    <w:rsid w:val="00915DD4"/>
    <w:rsid w:val="0093512F"/>
    <w:rsid w:val="00951B79"/>
    <w:rsid w:val="009D300C"/>
    <w:rsid w:val="009D5E8E"/>
    <w:rsid w:val="009E134B"/>
    <w:rsid w:val="009E7595"/>
    <w:rsid w:val="00A56D51"/>
    <w:rsid w:val="00A97A32"/>
    <w:rsid w:val="00AB4D39"/>
    <w:rsid w:val="00AC68AF"/>
    <w:rsid w:val="00B1531F"/>
    <w:rsid w:val="00B42D56"/>
    <w:rsid w:val="00B45DA8"/>
    <w:rsid w:val="00B57F37"/>
    <w:rsid w:val="00BA665E"/>
    <w:rsid w:val="00BE01BF"/>
    <w:rsid w:val="00BE4D1A"/>
    <w:rsid w:val="00C05D7E"/>
    <w:rsid w:val="00C52825"/>
    <w:rsid w:val="00C70C5D"/>
    <w:rsid w:val="00CB7A60"/>
    <w:rsid w:val="00CD40B0"/>
    <w:rsid w:val="00CD5AEB"/>
    <w:rsid w:val="00CD77B4"/>
    <w:rsid w:val="00D049DF"/>
    <w:rsid w:val="00D310D5"/>
    <w:rsid w:val="00D550A6"/>
    <w:rsid w:val="00D55A44"/>
    <w:rsid w:val="00D64DDD"/>
    <w:rsid w:val="00D66013"/>
    <w:rsid w:val="00D70A4E"/>
    <w:rsid w:val="00D8152F"/>
    <w:rsid w:val="00D84BC5"/>
    <w:rsid w:val="00D87B51"/>
    <w:rsid w:val="00DC091D"/>
    <w:rsid w:val="00DC7A09"/>
    <w:rsid w:val="00DD5659"/>
    <w:rsid w:val="00DF2C8E"/>
    <w:rsid w:val="00DF4150"/>
    <w:rsid w:val="00DF6128"/>
    <w:rsid w:val="00E104DA"/>
    <w:rsid w:val="00E92263"/>
    <w:rsid w:val="00E95E88"/>
    <w:rsid w:val="00EA3A2D"/>
    <w:rsid w:val="00EB335D"/>
    <w:rsid w:val="00ED2B9A"/>
    <w:rsid w:val="00EF2B2F"/>
    <w:rsid w:val="00F15A37"/>
    <w:rsid w:val="00F75F4A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A56D51"/>
  </w:style>
  <w:style w:type="paragraph" w:styleId="Sansinterligne">
    <w:name w:val="No Spacing"/>
    <w:uiPriority w:val="1"/>
    <w:qFormat/>
    <w:rsid w:val="0017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ynqvb">
    <w:name w:val="rynqvb"/>
    <w:basedOn w:val="Policepardfaut"/>
    <w:rsid w:val="001758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2</cp:revision>
  <dcterms:created xsi:type="dcterms:W3CDTF">2025-09-16T14:02:00Z</dcterms:created>
  <dcterms:modified xsi:type="dcterms:W3CDTF">2025-09-16T14:02:00Z</dcterms:modified>
</cp:coreProperties>
</file>