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F6" w:rsidRPr="006437F6" w:rsidRDefault="006437F6" w:rsidP="006437F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437F6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Ministry of Higher Education and Scientific Research</w:t>
      </w:r>
    </w:p>
    <w:p w:rsidR="006437F6" w:rsidRPr="006437F6" w:rsidRDefault="006437F6" w:rsidP="006437F6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</w:pPr>
      <w:r w:rsidRPr="006437F6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>University of Oum El Bouaghi</w:t>
      </w:r>
    </w:p>
    <w:p w:rsidR="006437F6" w:rsidRPr="006437F6" w:rsidRDefault="006437F6" w:rsidP="006437F6">
      <w:pPr>
        <w:spacing w:after="20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6437F6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Faculty </w:t>
      </w:r>
      <w:r w:rsidRPr="006437F6">
        <w:rPr>
          <w:rStyle w:val="markedcontent"/>
          <w:rFonts w:asciiTheme="majorBidi" w:hAnsiTheme="majorBidi" w:cstheme="majorBidi"/>
          <w:b/>
          <w:bCs/>
          <w:sz w:val="32"/>
          <w:szCs w:val="32"/>
          <w:lang w:val="en-US"/>
        </w:rPr>
        <w:t>of Letters and Languages</w:t>
      </w:r>
    </w:p>
    <w:p w:rsidR="006437F6" w:rsidRDefault="006437F6" w:rsidP="006437F6">
      <w:pPr>
        <w:spacing w:after="200" w:line="276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val="en-US"/>
        </w:rPr>
      </w:pPr>
      <w:r w:rsidRPr="006437F6">
        <w:rPr>
          <w:rFonts w:asciiTheme="majorBidi" w:hAnsiTheme="majorBidi" w:cstheme="majorBidi"/>
          <w:b/>
          <w:bCs/>
          <w:sz w:val="36"/>
          <w:szCs w:val="36"/>
          <w:lang w:val="en-US"/>
        </w:rPr>
        <w:t>Department of Arabic language and literature</w:t>
      </w:r>
    </w:p>
    <w:p w:rsidR="00F75F4A" w:rsidRPr="00F75F4A" w:rsidRDefault="00F75F4A" w:rsidP="00F75F4A">
      <w:pPr>
        <w:spacing w:after="200" w:line="276" w:lineRule="auto"/>
        <w:ind w:right="-81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Academic Year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 :</w:t>
      </w:r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2025/2026</w:t>
      </w:r>
    </w:p>
    <w:p w:rsidR="000A640B" w:rsidRPr="00A45000" w:rsidRDefault="000A640B" w:rsidP="000A640B">
      <w:pPr>
        <w:pBdr>
          <w:top w:val="thinThickSmallGap" w:sz="24" w:space="0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sz w:val="36"/>
          <w:szCs w:val="36"/>
          <w:rtl/>
          <w:lang w:bidi="ar-DZ"/>
        </w:rPr>
      </w:pPr>
      <w:r>
        <w:rPr>
          <w:rStyle w:val="rynqvb"/>
        </w:rPr>
        <w:t>First semester organization card Level: Second year Master's degree, literary Studies branch: classic arab literary specialization</w:t>
      </w:r>
    </w:p>
    <w:p w:rsidR="00441AA5" w:rsidRPr="00441AA5" w:rsidRDefault="00441AA5" w:rsidP="000A640B">
      <w:pPr>
        <w:pBdr>
          <w:top w:val="thinThickSmallGap" w:sz="24" w:space="0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sz w:val="36"/>
          <w:szCs w:val="36"/>
          <w:rtl/>
          <w:lang w:val="en-US" w:bidi="ar-DZ"/>
        </w:rPr>
      </w:pPr>
    </w:p>
    <w:p w:rsidR="00441AA5" w:rsidRPr="006437F6" w:rsidRDefault="00441AA5" w:rsidP="006437F6">
      <w:pPr>
        <w:spacing w:after="200" w:line="276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en-US" w:bidi="ar-DZ"/>
        </w:rPr>
      </w:pPr>
    </w:p>
    <w:tbl>
      <w:tblPr>
        <w:tblStyle w:val="Grille1"/>
        <w:bidiVisual/>
        <w:tblW w:w="15632" w:type="dxa"/>
        <w:jc w:val="center"/>
        <w:tblInd w:w="-418" w:type="dxa"/>
        <w:tblLayout w:type="fixed"/>
        <w:tblLook w:val="04A0"/>
      </w:tblPr>
      <w:tblGrid>
        <w:gridCol w:w="4253"/>
        <w:gridCol w:w="1208"/>
        <w:gridCol w:w="1719"/>
        <w:gridCol w:w="2041"/>
        <w:gridCol w:w="2137"/>
        <w:gridCol w:w="2137"/>
        <w:gridCol w:w="1068"/>
        <w:gridCol w:w="1069"/>
      </w:tblGrid>
      <w:tr w:rsidR="006437F6" w:rsidRPr="00482479" w:rsidTr="00522158">
        <w:trPr>
          <w:trHeight w:val="200"/>
          <w:jc w:val="center"/>
        </w:trPr>
        <w:tc>
          <w:tcPr>
            <w:tcW w:w="4253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437F6" w:rsidRPr="00482479" w:rsidRDefault="00DF4150" w:rsidP="00A81982">
            <w:pPr>
              <w:bidi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 w:rsidRPr="00482479"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>Units and ther components</w:t>
            </w:r>
          </w:p>
        </w:tc>
        <w:tc>
          <w:tcPr>
            <w:tcW w:w="120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437F6" w:rsidRPr="00482479" w:rsidRDefault="00DF4150" w:rsidP="00DF415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 w:rsidRPr="00482479"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>Number of lectures weekly</w:t>
            </w:r>
          </w:p>
        </w:tc>
        <w:tc>
          <w:tcPr>
            <w:tcW w:w="171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437F6" w:rsidRPr="00482479" w:rsidRDefault="00DF4150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482479"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>Number of tasks directed weekly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437F6" w:rsidRPr="00482479" w:rsidRDefault="00E92263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482479"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>Number of pratical tasks weekly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437F6" w:rsidRPr="00482479" w:rsidRDefault="00E92263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482479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coefficient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0A640B" w:rsidRPr="00482479" w:rsidRDefault="000A640B" w:rsidP="000A640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482479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credits</w:t>
            </w:r>
          </w:p>
          <w:p w:rsidR="006437F6" w:rsidRPr="00482479" w:rsidRDefault="006437F6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6437F6" w:rsidRPr="00482479" w:rsidRDefault="000A640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482479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Weights</w:t>
            </w:r>
          </w:p>
        </w:tc>
      </w:tr>
      <w:tr w:rsidR="006437F6" w:rsidRPr="00482479" w:rsidTr="00522158">
        <w:trPr>
          <w:trHeight w:val="200"/>
          <w:jc w:val="center"/>
        </w:trPr>
        <w:tc>
          <w:tcPr>
            <w:tcW w:w="4253" w:type="dxa"/>
            <w:vMerge/>
            <w:shd w:val="clear" w:color="auto" w:fill="B8CCE4" w:themeFill="accent1" w:themeFillTint="66"/>
            <w:vAlign w:val="center"/>
          </w:tcPr>
          <w:p w:rsidR="006437F6" w:rsidRPr="00482479" w:rsidRDefault="006437F6" w:rsidP="00A81982">
            <w:pPr>
              <w:bidi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208" w:type="dxa"/>
            <w:vMerge/>
            <w:shd w:val="clear" w:color="auto" w:fill="B8CCE4" w:themeFill="accent1" w:themeFillTint="66"/>
            <w:vAlign w:val="center"/>
          </w:tcPr>
          <w:p w:rsidR="006437F6" w:rsidRPr="00482479" w:rsidRDefault="006437F6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719" w:type="dxa"/>
            <w:vMerge/>
            <w:shd w:val="clear" w:color="auto" w:fill="B8CCE4" w:themeFill="accent1" w:themeFillTint="66"/>
            <w:vAlign w:val="center"/>
          </w:tcPr>
          <w:p w:rsidR="006437F6" w:rsidRPr="00482479" w:rsidRDefault="006437F6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41" w:type="dxa"/>
            <w:vMerge/>
            <w:shd w:val="clear" w:color="auto" w:fill="B8CCE4" w:themeFill="accent1" w:themeFillTint="66"/>
            <w:vAlign w:val="center"/>
          </w:tcPr>
          <w:p w:rsidR="006437F6" w:rsidRPr="00482479" w:rsidRDefault="006437F6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  <w:vAlign w:val="center"/>
          </w:tcPr>
          <w:p w:rsidR="006437F6" w:rsidRPr="00482479" w:rsidRDefault="006437F6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</w:tcPr>
          <w:p w:rsidR="006437F6" w:rsidRPr="00482479" w:rsidRDefault="006437F6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6437F6" w:rsidRPr="00482479" w:rsidRDefault="00E92263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482479"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>lectures</w:t>
            </w:r>
            <w:r w:rsidR="006437F6" w:rsidRPr="0048247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6437F6" w:rsidRPr="00482479" w:rsidRDefault="000A640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482479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tutorial</w:t>
            </w:r>
          </w:p>
        </w:tc>
      </w:tr>
      <w:tr w:rsidR="006437F6" w:rsidRPr="008B519E" w:rsidTr="00B6533B">
        <w:trPr>
          <w:trHeight w:val="20"/>
          <w:jc w:val="center"/>
        </w:trPr>
        <w:tc>
          <w:tcPr>
            <w:tcW w:w="4253" w:type="dxa"/>
            <w:shd w:val="clear" w:color="auto" w:fill="DBE5F1" w:themeFill="accent1" w:themeFillTint="33"/>
          </w:tcPr>
          <w:p w:rsidR="006437F6" w:rsidRPr="008B519E" w:rsidRDefault="00D70A4E" w:rsidP="00A81982">
            <w:pPr>
              <w:bidi/>
              <w:jc w:val="right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>Fundamental teaching unit 1 and 2</w:t>
            </w:r>
          </w:p>
        </w:tc>
        <w:tc>
          <w:tcPr>
            <w:tcW w:w="11379" w:type="dxa"/>
            <w:gridSpan w:val="7"/>
            <w:shd w:val="clear" w:color="auto" w:fill="DBE5F1" w:themeFill="accent1" w:themeFillTint="33"/>
          </w:tcPr>
          <w:p w:rsidR="006437F6" w:rsidRPr="008B519E" w:rsidRDefault="006437F6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D64DDD" w:rsidRPr="008B519E" w:rsidTr="00956717">
        <w:trPr>
          <w:trHeight w:val="20"/>
          <w:jc w:val="center"/>
        </w:trPr>
        <w:tc>
          <w:tcPr>
            <w:tcW w:w="4253" w:type="dxa"/>
            <w:vAlign w:val="center"/>
          </w:tcPr>
          <w:p w:rsidR="00D64DDD" w:rsidRDefault="000A640B" w:rsidP="00A81982">
            <w:pPr>
              <w:bidi/>
              <w:jc w:val="right"/>
              <w:rPr>
                <w:rFonts w:cs="Arabic Transparent"/>
                <w:b/>
                <w:sz w:val="28"/>
                <w:szCs w:val="28"/>
              </w:rPr>
            </w:pPr>
            <w:r>
              <w:rPr>
                <w:rFonts w:cs="Arabic Transparent"/>
                <w:b/>
                <w:sz w:val="28"/>
                <w:szCs w:val="28"/>
              </w:rPr>
              <w:t>Article1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rFonts w:cs="Arabic Transparent"/>
                <w:b/>
                <w:sz w:val="28"/>
                <w:szCs w:val="28"/>
              </w:rPr>
              <w:t xml:space="preserve"> criticism issues of classic arab literary</w:t>
            </w:r>
            <w:r w:rsidR="00D64DDD">
              <w:rPr>
                <w:rFonts w:cs="Arabic Transparent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08" w:type="dxa"/>
          </w:tcPr>
          <w:p w:rsidR="00D64DDD" w:rsidRPr="00D82F11" w:rsidRDefault="00D64DD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19" w:type="dxa"/>
          </w:tcPr>
          <w:p w:rsidR="00D64DDD" w:rsidRPr="00D82F11" w:rsidRDefault="00D64DD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</w:tcPr>
          <w:p w:rsidR="00D64DDD" w:rsidRPr="00D82F11" w:rsidRDefault="00D64DD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vAlign w:val="center"/>
          </w:tcPr>
          <w:p w:rsidR="00D64DDD" w:rsidRDefault="00D64DD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137" w:type="dxa"/>
            <w:vAlign w:val="center"/>
          </w:tcPr>
          <w:p w:rsidR="00D64DDD" w:rsidRDefault="00D64DD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068" w:type="dxa"/>
          </w:tcPr>
          <w:p w:rsidR="00D64DDD" w:rsidRPr="00C86AE1" w:rsidRDefault="00D64DDD" w:rsidP="00DF0E3A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40%</w:t>
            </w:r>
          </w:p>
        </w:tc>
        <w:tc>
          <w:tcPr>
            <w:tcW w:w="1069" w:type="dxa"/>
          </w:tcPr>
          <w:p w:rsidR="00D64DDD" w:rsidRPr="00C86AE1" w:rsidRDefault="00D64DDD" w:rsidP="00DF0E3A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60%</w:t>
            </w:r>
          </w:p>
        </w:tc>
      </w:tr>
      <w:tr w:rsidR="00D64DDD" w:rsidRPr="008B519E" w:rsidTr="00956717">
        <w:trPr>
          <w:trHeight w:val="395"/>
          <w:jc w:val="center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D64DDD" w:rsidRDefault="000A640B" w:rsidP="00A81982">
            <w:pPr>
              <w:bidi/>
              <w:jc w:val="right"/>
              <w:rPr>
                <w:rFonts w:cs="Arabic Transparent"/>
                <w:b/>
                <w:sz w:val="28"/>
                <w:szCs w:val="28"/>
              </w:rPr>
            </w:pPr>
            <w:r>
              <w:rPr>
                <w:rFonts w:cs="Arabic Transparent"/>
                <w:b/>
                <w:sz w:val="28"/>
                <w:szCs w:val="28"/>
              </w:rPr>
              <w:t xml:space="preserve">Article 2 </w:t>
            </w:r>
            <w:r>
              <w:rPr>
                <w:b/>
                <w:sz w:val="28"/>
                <w:szCs w:val="28"/>
              </w:rPr>
              <w:t>:</w:t>
            </w:r>
            <w:r w:rsidR="008D3A0B">
              <w:rPr>
                <w:rFonts w:cs="Arabic Transparent"/>
                <w:b/>
                <w:sz w:val="28"/>
                <w:szCs w:val="28"/>
              </w:rPr>
              <w:t>classicol arabic literature of algeria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D64DDD" w:rsidRPr="00D82F11" w:rsidRDefault="00D64DD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D64DDD" w:rsidRPr="00D82F11" w:rsidRDefault="00D64DD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D64DDD" w:rsidRPr="00D82F11" w:rsidRDefault="00D64DD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D64DDD" w:rsidRDefault="00D64DD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D64DDD" w:rsidRDefault="00D64DD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D64DDD" w:rsidRPr="00C86AE1" w:rsidRDefault="00D64DDD" w:rsidP="00DF0E3A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40%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D64DDD" w:rsidRPr="00C86AE1" w:rsidRDefault="00D64DDD" w:rsidP="00DF0E3A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60%</w:t>
            </w:r>
          </w:p>
        </w:tc>
      </w:tr>
      <w:tr w:rsidR="00D64DDD" w:rsidRPr="008B519E" w:rsidTr="00956717">
        <w:trPr>
          <w:trHeight w:val="78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DDD" w:rsidRDefault="000A640B" w:rsidP="00A81982">
            <w:pPr>
              <w:bidi/>
              <w:jc w:val="right"/>
              <w:rPr>
                <w:rFonts w:cs="Arabic Transparent"/>
                <w:b/>
                <w:sz w:val="28"/>
                <w:szCs w:val="28"/>
              </w:rPr>
            </w:pPr>
            <w:r>
              <w:rPr>
                <w:rFonts w:cs="Arabic Transparent"/>
                <w:b/>
                <w:sz w:val="28"/>
                <w:szCs w:val="28"/>
              </w:rPr>
              <w:t>Article 3</w:t>
            </w:r>
            <w:r>
              <w:rPr>
                <w:b/>
                <w:sz w:val="28"/>
                <w:szCs w:val="28"/>
              </w:rPr>
              <w:t>:</w:t>
            </w:r>
            <w:r w:rsidR="008D3A0B">
              <w:rPr>
                <w:rFonts w:cs="Arabic Transparent"/>
                <w:b/>
                <w:sz w:val="28"/>
                <w:szCs w:val="28"/>
              </w:rPr>
              <w:t>literary myths</w:t>
            </w:r>
            <w:r>
              <w:rPr>
                <w:rFonts w:cs="Arabic Transparent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D64DDD" w:rsidRPr="00D82F11" w:rsidRDefault="00D64DD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D64DDD" w:rsidRPr="00D82F11" w:rsidRDefault="00D64DD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D64DDD" w:rsidRPr="00D82F11" w:rsidRDefault="00D64DD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DDD" w:rsidRDefault="00D64DD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DDD" w:rsidRDefault="00D64DD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DDD" w:rsidRDefault="00D64DD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DDD" w:rsidRDefault="00D64DD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</w:tr>
      <w:tr w:rsidR="00D64DDD" w:rsidRPr="008B519E" w:rsidTr="00956717">
        <w:trPr>
          <w:trHeight w:val="330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DDD" w:rsidRDefault="00A81982" w:rsidP="003B2365">
            <w:pPr>
              <w:pStyle w:val="Corpsdetexte"/>
              <w:bidi/>
            </w:pPr>
            <w:r>
              <w:t>Article 4 :</w:t>
            </w:r>
            <w:r w:rsidR="004B5C3F">
              <w:t>rhetoric and ancient criticism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D64DDD" w:rsidRPr="00D82F11" w:rsidRDefault="00D64DD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D64DDD" w:rsidRPr="00D82F11" w:rsidRDefault="00D64DD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D64DDD" w:rsidRPr="00D82F11" w:rsidRDefault="00D64DD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DDD" w:rsidRDefault="00D64DDD" w:rsidP="00DF0E3A">
            <w:pPr>
              <w:bidi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DDD" w:rsidRDefault="00D64DD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D64DDD" w:rsidRPr="00C86AE1" w:rsidRDefault="00D64DDD" w:rsidP="00DF0E3A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40%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D64DDD" w:rsidRPr="00C86AE1" w:rsidRDefault="00D64DDD" w:rsidP="00DF0E3A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60%</w:t>
            </w:r>
          </w:p>
        </w:tc>
      </w:tr>
      <w:tr w:rsidR="006437F6" w:rsidRPr="008B519E" w:rsidTr="00B6533B">
        <w:trPr>
          <w:trHeight w:val="20"/>
          <w:jc w:val="center"/>
        </w:trPr>
        <w:tc>
          <w:tcPr>
            <w:tcW w:w="4253" w:type="dxa"/>
            <w:shd w:val="clear" w:color="auto" w:fill="DBE5F1" w:themeFill="accent1" w:themeFillTint="33"/>
          </w:tcPr>
          <w:p w:rsidR="006437F6" w:rsidRPr="007D6A1E" w:rsidRDefault="00D70A4E" w:rsidP="00A81982">
            <w:pPr>
              <w:bidi/>
              <w:jc w:val="right"/>
              <w:rPr>
                <w:rFonts w:ascii="Simplified Arabic" w:hAnsi="Simplified Arabic" w:cs="Simplified Arabic"/>
                <w:sz w:val="22"/>
                <w:szCs w:val="22"/>
                <w:lang w:val="en-US"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US" w:bidi="ar-DZ"/>
              </w:rPr>
              <w:t>Methodological</w:t>
            </w: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 xml:space="preserve"> teaching unit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US" w:bidi="ar-DZ"/>
              </w:rPr>
              <w:t xml:space="preserve"> </w:t>
            </w:r>
          </w:p>
        </w:tc>
        <w:tc>
          <w:tcPr>
            <w:tcW w:w="11379" w:type="dxa"/>
            <w:gridSpan w:val="7"/>
            <w:shd w:val="clear" w:color="auto" w:fill="DBE5F1" w:themeFill="accent1" w:themeFillTint="33"/>
          </w:tcPr>
          <w:p w:rsidR="006437F6" w:rsidRPr="008B519E" w:rsidRDefault="006437F6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D66013" w:rsidRPr="008B519E" w:rsidTr="009B2CCC">
        <w:trPr>
          <w:trHeight w:val="457"/>
          <w:jc w:val="center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D66013" w:rsidRPr="005D66F8" w:rsidRDefault="00A81982" w:rsidP="00A81982">
            <w:pPr>
              <w:tabs>
                <w:tab w:val="left" w:pos="12407"/>
              </w:tabs>
              <w:bidi/>
              <w:jc w:val="right"/>
              <w:rPr>
                <w:sz w:val="36"/>
                <w:szCs w:val="36"/>
                <w:lang w:val="en-US" w:bidi="ar-DZ"/>
              </w:rPr>
            </w:pPr>
            <w:r>
              <w:rPr>
                <w:rFonts w:cs="Arabic Transparent"/>
                <w:b/>
                <w:sz w:val="28"/>
                <w:szCs w:val="28"/>
              </w:rPr>
              <w:t>Article1</w:t>
            </w:r>
            <w:r>
              <w:rPr>
                <w:b/>
                <w:sz w:val="28"/>
                <w:szCs w:val="28"/>
              </w:rPr>
              <w:t>:</w:t>
            </w:r>
            <w:r w:rsidRPr="005D66F8">
              <w:rPr>
                <w:bCs/>
                <w:sz w:val="28"/>
                <w:szCs w:val="28"/>
                <w:lang w:val="en-US" w:bidi="ar-DZ"/>
              </w:rPr>
              <w:t xml:space="preserve"> </w:t>
            </w:r>
            <w:r w:rsidRPr="00D3675A">
              <w:rPr>
                <w:b/>
                <w:sz w:val="28"/>
                <w:szCs w:val="28"/>
                <w:lang w:val="en-US" w:bidi="ar-DZ"/>
              </w:rPr>
              <w:t xml:space="preserve">problematic </w:t>
            </w:r>
            <w:r w:rsidRPr="00D3675A">
              <w:rPr>
                <w:b/>
                <w:sz w:val="28"/>
                <w:szCs w:val="28"/>
                <w:lang w:bidi="ar-DZ"/>
              </w:rPr>
              <w:t>of reaserch</w:t>
            </w:r>
            <w:r w:rsidR="005D66F8">
              <w:rPr>
                <w:sz w:val="36"/>
                <w:szCs w:val="36"/>
                <w:lang w:val="en-US" w:bidi="ar-DZ"/>
              </w:rPr>
              <w:tab/>
              <w:t>Manuscript philology editin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D66013" w:rsidRPr="00D82F11" w:rsidRDefault="00D66013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D66013" w:rsidRPr="00D82F11" w:rsidRDefault="00D66013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D66013" w:rsidRPr="00D82F11" w:rsidRDefault="00D66013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D66013" w:rsidRDefault="00D66013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D66013" w:rsidRDefault="00D66013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D66013" w:rsidRPr="00C86AE1" w:rsidRDefault="00D66013" w:rsidP="00DF0E3A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40%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D66013" w:rsidRPr="00C86AE1" w:rsidRDefault="00D66013" w:rsidP="00DF0E3A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60%</w:t>
            </w:r>
          </w:p>
        </w:tc>
      </w:tr>
      <w:tr w:rsidR="00D66013" w:rsidRPr="008B519E" w:rsidTr="000A640B">
        <w:trPr>
          <w:trHeight w:val="910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013" w:rsidRDefault="00D66013" w:rsidP="00A81982">
            <w:pPr>
              <w:bidi/>
              <w:jc w:val="right"/>
              <w:rPr>
                <w:rFonts w:cs="Arabic Transparent"/>
                <w:b/>
                <w:sz w:val="28"/>
                <w:szCs w:val="28"/>
              </w:rPr>
            </w:pPr>
            <w:r>
              <w:rPr>
                <w:rFonts w:cs="Arabic Transparent"/>
                <w:b/>
                <w:sz w:val="28"/>
                <w:szCs w:val="28"/>
                <w:rtl/>
              </w:rPr>
              <w:lastRenderedPageBreak/>
              <w:t xml:space="preserve"> </w:t>
            </w:r>
            <w:r>
              <w:rPr>
                <w:rFonts w:cs="Arabic Transparent" w:hint="cs"/>
                <w:b/>
                <w:sz w:val="28"/>
                <w:szCs w:val="28"/>
                <w:rtl/>
              </w:rPr>
              <w:t xml:space="preserve"> </w:t>
            </w:r>
            <w:r w:rsidR="00A81982">
              <w:rPr>
                <w:rFonts w:cs="Arabic Transparent"/>
                <w:b/>
                <w:sz w:val="28"/>
                <w:szCs w:val="28"/>
              </w:rPr>
              <w:t>Article 2</w:t>
            </w:r>
            <w:r w:rsidR="00A81982">
              <w:rPr>
                <w:b/>
                <w:sz w:val="28"/>
                <w:szCs w:val="28"/>
              </w:rPr>
              <w:t>:</w:t>
            </w:r>
            <w:r w:rsidR="005D66F8">
              <w:rPr>
                <w:rFonts w:cs="Arabic Transparent"/>
                <w:b/>
                <w:sz w:val="28"/>
                <w:szCs w:val="28"/>
              </w:rPr>
              <w:t>manuscript philology editing</w:t>
            </w:r>
            <w:r w:rsidR="00A81982">
              <w:rPr>
                <w:rtl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D66013" w:rsidRPr="00791F4A" w:rsidRDefault="00D66013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01</w:t>
            </w:r>
          </w:p>
          <w:p w:rsidR="00D66013" w:rsidRPr="00791F4A" w:rsidRDefault="00D66013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D66013" w:rsidRDefault="00D66013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D66013" w:rsidRPr="00D82F11" w:rsidRDefault="00D66013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013" w:rsidRDefault="00D66013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013" w:rsidRDefault="00D66013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D66013" w:rsidRPr="00C86AE1" w:rsidRDefault="00D66013" w:rsidP="00DF0E3A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40%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D66013" w:rsidRPr="00C86AE1" w:rsidRDefault="00D66013" w:rsidP="00DF0E3A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60%</w:t>
            </w:r>
          </w:p>
        </w:tc>
      </w:tr>
      <w:tr w:rsidR="00D66013" w:rsidRPr="008B519E" w:rsidTr="009B2CCC">
        <w:trPr>
          <w:trHeight w:val="78"/>
          <w:jc w:val="center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D66013" w:rsidRDefault="00D66013" w:rsidP="00A81982">
            <w:pPr>
              <w:bidi/>
              <w:jc w:val="right"/>
              <w:rPr>
                <w:rFonts w:cs="Arabic Transparent"/>
                <w:b/>
                <w:sz w:val="28"/>
                <w:szCs w:val="28"/>
              </w:rPr>
            </w:pPr>
            <w:r>
              <w:rPr>
                <w:rFonts w:cs="Arabic Transparent"/>
                <w:b/>
                <w:sz w:val="28"/>
                <w:szCs w:val="28"/>
                <w:rtl/>
              </w:rPr>
              <w:t>:</w:t>
            </w:r>
            <w:r w:rsidR="00CD40B0">
              <w:rPr>
                <w:rFonts w:cs="Arabic Transparent"/>
                <w:b/>
                <w:sz w:val="28"/>
                <w:szCs w:val="28"/>
              </w:rPr>
              <w:t xml:space="preserve"> </w:t>
            </w:r>
            <w:r w:rsidR="005D66F8">
              <w:rPr>
                <w:rFonts w:cs="Arabic Transparent"/>
                <w:b/>
                <w:sz w:val="28"/>
                <w:szCs w:val="28"/>
              </w:rPr>
              <w:t>lexicology and lexicography</w:t>
            </w:r>
            <w:r w:rsidR="00A81982">
              <w:rPr>
                <w:rFonts w:cs="Arabic Transparent"/>
                <w:b/>
                <w:sz w:val="28"/>
                <w:szCs w:val="28"/>
              </w:rPr>
              <w:t xml:space="preserve"> Article 3</w:t>
            </w:r>
            <w:r w:rsidR="00A81982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D66013" w:rsidRPr="00791F4A" w:rsidRDefault="00D66013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D66013" w:rsidRDefault="00D66013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D66013" w:rsidRPr="00D82F11" w:rsidRDefault="00D66013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</w:tcBorders>
            <w:vAlign w:val="center"/>
          </w:tcPr>
          <w:p w:rsidR="00D66013" w:rsidRDefault="00D66013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137" w:type="dxa"/>
            <w:tcBorders>
              <w:top w:val="single" w:sz="4" w:space="0" w:color="auto"/>
            </w:tcBorders>
            <w:vAlign w:val="center"/>
          </w:tcPr>
          <w:p w:rsidR="00D66013" w:rsidRDefault="00D66013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D66013" w:rsidRDefault="00D66013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vAlign w:val="center"/>
          </w:tcPr>
          <w:p w:rsidR="00D66013" w:rsidRDefault="00EB335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 w:rsidRPr="00C86AE1">
              <w:rPr>
                <w:b/>
                <w:bCs/>
              </w:rPr>
              <w:t>100%</w:t>
            </w:r>
          </w:p>
        </w:tc>
      </w:tr>
      <w:tr w:rsidR="00615AFE" w:rsidRPr="008B519E" w:rsidTr="00B6533B">
        <w:trPr>
          <w:trHeight w:val="20"/>
          <w:jc w:val="center"/>
        </w:trPr>
        <w:tc>
          <w:tcPr>
            <w:tcW w:w="4253" w:type="dxa"/>
            <w:shd w:val="clear" w:color="auto" w:fill="DBE5F1" w:themeFill="accent1" w:themeFillTint="33"/>
          </w:tcPr>
          <w:p w:rsidR="00615AFE" w:rsidRPr="007D6A1E" w:rsidRDefault="00D70A4E" w:rsidP="00A81982">
            <w:pPr>
              <w:bidi/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US"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US" w:bidi="ar-DZ"/>
              </w:rPr>
              <w:t xml:space="preserve">Discovery </w:t>
            </w:r>
            <w:r w:rsidR="009077C4">
              <w:rPr>
                <w:rFonts w:ascii="Simplified Arabic" w:hAnsi="Simplified Arabic" w:cs="Simplified Arabic"/>
                <w:b/>
                <w:bCs/>
                <w:lang w:val="en-US" w:bidi="ar-DZ"/>
              </w:rPr>
              <w:t xml:space="preserve">teaching unit </w:t>
            </w:r>
            <w:r w:rsidR="009077C4"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US" w:bidi="ar-DZ"/>
              </w:rPr>
              <w:t xml:space="preserve"> </w:t>
            </w:r>
          </w:p>
        </w:tc>
        <w:tc>
          <w:tcPr>
            <w:tcW w:w="11379" w:type="dxa"/>
            <w:gridSpan w:val="7"/>
            <w:shd w:val="clear" w:color="auto" w:fill="DBE5F1" w:themeFill="accent1" w:themeFillTint="33"/>
          </w:tcPr>
          <w:p w:rsidR="00615AFE" w:rsidRPr="008B519E" w:rsidRDefault="00615AFE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EB335D" w:rsidRPr="008B519E" w:rsidTr="000B03F6">
        <w:trPr>
          <w:trHeight w:val="339"/>
          <w:jc w:val="center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EB335D" w:rsidRDefault="00A81982" w:rsidP="00A81982">
            <w:pPr>
              <w:bidi/>
              <w:jc w:val="right"/>
              <w:rPr>
                <w:rFonts w:cs="Arabic Transparent"/>
                <w:b/>
                <w:sz w:val="28"/>
                <w:szCs w:val="28"/>
              </w:rPr>
            </w:pPr>
            <w:r>
              <w:rPr>
                <w:rFonts w:cs="Arabic Transparent"/>
                <w:b/>
                <w:sz w:val="28"/>
                <w:szCs w:val="28"/>
              </w:rPr>
              <w:t>Article 1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rFonts w:cs="Arabic Transparent"/>
                <w:b/>
                <w:sz w:val="28"/>
                <w:szCs w:val="28"/>
              </w:rPr>
              <w:t xml:space="preserve"> literary genres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EB335D" w:rsidRPr="000A25B8" w:rsidRDefault="00EB335D" w:rsidP="00615AF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EB335D" w:rsidRPr="000A25B8" w:rsidRDefault="00EB335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 w:rsidRPr="000A25B8"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EB335D" w:rsidRPr="008B519E" w:rsidRDefault="00EB335D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EB335D" w:rsidRDefault="00EB335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EB335D" w:rsidRDefault="00EB335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EB335D" w:rsidRDefault="00EB335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EB335D" w:rsidRDefault="00EB335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 w:rsidRPr="00C86AE1">
              <w:rPr>
                <w:b/>
                <w:bCs/>
              </w:rPr>
              <w:t>100%</w:t>
            </w:r>
          </w:p>
        </w:tc>
      </w:tr>
      <w:tr w:rsidR="00EB335D" w:rsidRPr="008B519E" w:rsidTr="000B03F6">
        <w:trPr>
          <w:trHeight w:val="108"/>
          <w:jc w:val="center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EB335D" w:rsidRDefault="00A81982" w:rsidP="00A81982">
            <w:pPr>
              <w:bidi/>
              <w:jc w:val="right"/>
              <w:rPr>
                <w:rFonts w:cs="Arabic Transparent"/>
                <w:b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sz w:val="28"/>
                <w:szCs w:val="28"/>
              </w:rPr>
              <w:t>Article 2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rFonts w:cs="Arabic Transparent"/>
                <w:b/>
                <w:sz w:val="28"/>
                <w:szCs w:val="28"/>
              </w:rPr>
              <w:t xml:space="preserve"> specialized translation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EB335D" w:rsidRPr="000A25B8" w:rsidRDefault="00EB335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EB335D" w:rsidRPr="000A25B8" w:rsidRDefault="00EB335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/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EB335D" w:rsidRDefault="00EB335D" w:rsidP="00B6533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</w:tcBorders>
            <w:vAlign w:val="center"/>
          </w:tcPr>
          <w:p w:rsidR="00EB335D" w:rsidRDefault="00EB335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137" w:type="dxa"/>
            <w:tcBorders>
              <w:top w:val="single" w:sz="4" w:space="0" w:color="auto"/>
            </w:tcBorders>
            <w:vAlign w:val="center"/>
          </w:tcPr>
          <w:p w:rsidR="00EB335D" w:rsidRDefault="00EB335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EB335D" w:rsidRDefault="00EB335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C86AE1">
              <w:rPr>
                <w:b/>
                <w:bCs/>
              </w:rPr>
              <w:t>100%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vAlign w:val="center"/>
          </w:tcPr>
          <w:p w:rsidR="00EB335D" w:rsidRDefault="00EB335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15AFE" w:rsidRPr="008B519E" w:rsidTr="00B6533B">
        <w:trPr>
          <w:trHeight w:val="20"/>
          <w:jc w:val="center"/>
        </w:trPr>
        <w:tc>
          <w:tcPr>
            <w:tcW w:w="4253" w:type="dxa"/>
            <w:shd w:val="clear" w:color="auto" w:fill="DBE5F1" w:themeFill="accent1" w:themeFillTint="33"/>
          </w:tcPr>
          <w:p w:rsidR="00615AFE" w:rsidRPr="007D6A1E" w:rsidRDefault="009077C4" w:rsidP="00A81982">
            <w:pPr>
              <w:bidi/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US" w:bidi="ar-DZ"/>
              </w:rPr>
              <w:t>Transversal</w:t>
            </w: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 xml:space="preserve"> teaching unit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US" w:bidi="ar-DZ"/>
              </w:rPr>
              <w:t xml:space="preserve"> </w:t>
            </w:r>
          </w:p>
        </w:tc>
        <w:tc>
          <w:tcPr>
            <w:tcW w:w="11379" w:type="dxa"/>
            <w:gridSpan w:val="7"/>
            <w:shd w:val="clear" w:color="auto" w:fill="DBE5F1" w:themeFill="accent1" w:themeFillTint="33"/>
          </w:tcPr>
          <w:p w:rsidR="00615AFE" w:rsidRPr="008B519E" w:rsidRDefault="00615AFE" w:rsidP="00B6533B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615AFE" w:rsidRPr="008B519E" w:rsidTr="00615AFE">
        <w:trPr>
          <w:trHeight w:val="260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615AFE" w:rsidRPr="00742B38" w:rsidRDefault="00A81982" w:rsidP="00A81982">
            <w:pPr>
              <w:shd w:val="clear" w:color="auto" w:fill="FFFFFF"/>
              <w:bidi/>
              <w:ind w:left="360" w:hanging="360"/>
              <w:contextualSpacing/>
              <w:jc w:val="right"/>
              <w:rPr>
                <w:rFonts w:ascii="Sakkal Majalla" w:hAnsi="Sakkal Majalla" w:cs="Sakkal Majalla"/>
                <w:color w:val="212529"/>
                <w:sz w:val="40"/>
                <w:szCs w:val="40"/>
                <w:rtl/>
                <w:lang w:val="en-US" w:eastAsia="en-US" w:bidi="ar-DZ"/>
              </w:rPr>
            </w:pPr>
            <w:r>
              <w:rPr>
                <w:rFonts w:cs="Arabic Transparent"/>
                <w:b/>
                <w:sz w:val="28"/>
                <w:szCs w:val="28"/>
              </w:rPr>
              <w:t>Article 3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rFonts w:cs="Arabic Transparent"/>
                <w:b/>
                <w:sz w:val="28"/>
                <w:szCs w:val="28"/>
              </w:rPr>
              <w:t xml:space="preserve"> professional ethics</w:t>
            </w:r>
            <w:r w:rsidR="00D64DDD">
              <w:rPr>
                <w:rFonts w:cs="Arabic Transparent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615AFE" w:rsidRPr="00D82F11" w:rsidRDefault="00A97A32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615AFE" w:rsidRPr="00D82F11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615AFE" w:rsidRPr="00D82F11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615AFE" w:rsidRDefault="00615AFE" w:rsidP="00B6533B">
            <w:pPr>
              <w:jc w:val="center"/>
            </w:pPr>
            <w:r w:rsidRPr="00726D05">
              <w:rPr>
                <w:rFonts w:ascii="Simplified Arabic" w:hAnsi="Simplified Arabic" w:cs="Simplified Arabic" w:hint="cs"/>
                <w:rtl/>
                <w:lang w:val="en-US" w:bidi="ar-DZ"/>
              </w:rPr>
              <w:t>01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615AFE" w:rsidRDefault="00615AFE" w:rsidP="00B6533B">
            <w:pPr>
              <w:jc w:val="center"/>
            </w:pPr>
            <w:r w:rsidRPr="00726D05">
              <w:rPr>
                <w:rFonts w:ascii="Simplified Arabic" w:hAnsi="Simplified Arabic" w:cs="Simplified Arabic" w:hint="cs"/>
                <w:rtl/>
                <w:lang w:val="en-US" w:bidi="ar-DZ"/>
              </w:rPr>
              <w:t>01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5AFE" w:rsidRDefault="00615AFE" w:rsidP="00B6533B">
            <w:pPr>
              <w:ind w:right="41"/>
              <w:jc w:val="center"/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5AFE" w:rsidRDefault="00615AFE" w:rsidP="00E3445F">
            <w:pPr>
              <w:ind w:right="41"/>
              <w:jc w:val="center"/>
              <w:rPr>
                <w:b/>
                <w:sz w:val="20"/>
              </w:rPr>
            </w:pPr>
            <w:r w:rsidRPr="00615AFE">
              <w:rPr>
                <w:rFonts w:hint="cs"/>
                <w:bCs/>
                <w:rtl/>
              </w:rPr>
              <w:t>100</w:t>
            </w:r>
            <w:r w:rsidRPr="00615AFE">
              <w:rPr>
                <w:b/>
              </w:rPr>
              <w:t>%</w:t>
            </w:r>
          </w:p>
        </w:tc>
      </w:tr>
    </w:tbl>
    <w:p w:rsidR="00B42D56" w:rsidRDefault="00B42D56" w:rsidP="00B42D56">
      <w:pPr>
        <w:jc w:val="center"/>
        <w:rPr>
          <w:sz w:val="36"/>
          <w:szCs w:val="36"/>
          <w:bdr w:val="none" w:sz="0" w:space="0" w:color="auto" w:frame="1"/>
          <w:rtl/>
          <w:lang w:bidi="ar-DZ"/>
        </w:rPr>
      </w:pPr>
    </w:p>
    <w:p w:rsidR="00B42D56" w:rsidRPr="00B42D56" w:rsidRDefault="00B42D56" w:rsidP="00B42D56">
      <w:pPr>
        <w:jc w:val="center"/>
        <w:rPr>
          <w:sz w:val="36"/>
          <w:szCs w:val="36"/>
          <w:bdr w:val="none" w:sz="0" w:space="0" w:color="auto" w:frame="1"/>
          <w:rtl/>
          <w:lang w:val="en-US" w:bidi="ar-DZ"/>
        </w:rPr>
      </w:pPr>
    </w:p>
    <w:p w:rsidR="002301F9" w:rsidRDefault="002301F9" w:rsidP="002301F9">
      <w:pPr>
        <w:rPr>
          <w:bdr w:val="none" w:sz="0" w:space="0" w:color="auto" w:frame="1"/>
          <w:lang w:val="en-US" w:bidi="ar-DZ"/>
        </w:rPr>
      </w:pPr>
      <w:r>
        <w:rPr>
          <w:bdr w:val="none" w:sz="0" w:space="0" w:color="auto" w:frame="1"/>
          <w:lang w:val="en-US" w:bidi="ar-DZ"/>
        </w:rPr>
        <w:t>Specialization Head</w:t>
      </w:r>
      <w:r w:rsidRPr="0066569C">
        <w:rPr>
          <w:sz w:val="32"/>
          <w:szCs w:val="32"/>
          <w:bdr w:val="none" w:sz="0" w:space="0" w:color="auto" w:frame="1"/>
          <w:lang w:val="en-US" w:bidi="ar-DZ"/>
        </w:rPr>
        <w:t xml:space="preserve">: Prof. Dr. </w:t>
      </w:r>
      <w:r>
        <w:rPr>
          <w:sz w:val="32"/>
          <w:szCs w:val="32"/>
          <w:bdr w:val="none" w:sz="0" w:space="0" w:color="auto" w:frame="1"/>
          <w:lang w:val="en-US" w:bidi="ar-DZ"/>
        </w:rPr>
        <w:t>Mehoui Rabah</w:t>
      </w:r>
    </w:p>
    <w:p w:rsidR="002301F9" w:rsidRDefault="002301F9" w:rsidP="002301F9">
      <w:pPr>
        <w:rPr>
          <w:bdr w:val="none" w:sz="0" w:space="0" w:color="auto" w:frame="1"/>
          <w:lang w:val="en-US" w:bidi="ar-DZ"/>
        </w:rPr>
      </w:pPr>
    </w:p>
    <w:p w:rsidR="002301F9" w:rsidRDefault="002301F9" w:rsidP="002301F9">
      <w:pPr>
        <w:rPr>
          <w:rtl/>
          <w:lang w:bidi="ar-DZ"/>
        </w:rPr>
      </w:pPr>
      <w:r>
        <w:rPr>
          <w:lang w:bidi="ar-DZ"/>
        </w:rPr>
        <w:t>Note: This is completed by the specialization official, referring to the approved training offer</w:t>
      </w:r>
    </w:p>
    <w:p w:rsidR="002301F9" w:rsidRDefault="002301F9" w:rsidP="002301F9">
      <w:pPr>
        <w:jc w:val="right"/>
        <w:rPr>
          <w:lang w:bidi="ar-DZ"/>
        </w:rPr>
      </w:pPr>
      <w:r>
        <w:rPr>
          <w:lang w:bidi="ar-DZ"/>
        </w:rPr>
        <w:t>.</w:t>
      </w:r>
    </w:p>
    <w:p w:rsidR="002301F9" w:rsidRDefault="002301F9" w:rsidP="002301F9">
      <w:pPr>
        <w:jc w:val="right"/>
        <w:rPr>
          <w:lang w:bidi="ar-DZ"/>
        </w:rPr>
      </w:pPr>
      <w:r>
        <w:rPr>
          <w:bdr w:val="none" w:sz="0" w:space="0" w:color="auto" w:frame="1"/>
          <w:lang w:val="en-US" w:bidi="ar-DZ"/>
        </w:rPr>
        <w:t xml:space="preserve"> Head of Department</w:t>
      </w:r>
    </w:p>
    <w:p w:rsidR="00530270" w:rsidRPr="00B42D56" w:rsidRDefault="00530270" w:rsidP="00B42D56">
      <w:pPr>
        <w:jc w:val="right"/>
        <w:rPr>
          <w:sz w:val="36"/>
          <w:szCs w:val="36"/>
          <w:bdr w:val="none" w:sz="0" w:space="0" w:color="auto" w:frame="1"/>
          <w:rtl/>
          <w:lang w:val="en-US" w:bidi="ar-DZ"/>
        </w:rPr>
      </w:pPr>
    </w:p>
    <w:sectPr w:rsidR="00530270" w:rsidRPr="00B42D56" w:rsidSect="00F75F4A">
      <w:pgSz w:w="16838" w:h="11906" w:orient="landscape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C5A" w:rsidRDefault="000F7C5A" w:rsidP="00A56D51">
      <w:r>
        <w:separator/>
      </w:r>
    </w:p>
  </w:endnote>
  <w:endnote w:type="continuationSeparator" w:id="1">
    <w:p w:rsidR="000F7C5A" w:rsidRDefault="000F7C5A" w:rsidP="00A56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Tunisia Lt">
    <w:altName w:val="Arial"/>
    <w:charset w:val="00"/>
    <w:family w:val="auto"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C5A" w:rsidRDefault="000F7C5A" w:rsidP="00A56D51">
      <w:r>
        <w:separator/>
      </w:r>
    </w:p>
  </w:footnote>
  <w:footnote w:type="continuationSeparator" w:id="1">
    <w:p w:rsidR="000F7C5A" w:rsidRDefault="000F7C5A" w:rsidP="00A56D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A6F"/>
    <w:multiLevelType w:val="hybridMultilevel"/>
    <w:tmpl w:val="87962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50391"/>
    <w:multiLevelType w:val="hybridMultilevel"/>
    <w:tmpl w:val="278232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61356"/>
    <w:multiLevelType w:val="multilevel"/>
    <w:tmpl w:val="DEDC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26867"/>
    <w:multiLevelType w:val="hybridMultilevel"/>
    <w:tmpl w:val="4EE89B32"/>
    <w:lvl w:ilvl="0" w:tplc="77BC007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9676D"/>
    <w:multiLevelType w:val="hybridMultilevel"/>
    <w:tmpl w:val="9CAE4958"/>
    <w:lvl w:ilvl="0" w:tplc="7F0A02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E5ED6"/>
    <w:multiLevelType w:val="hybridMultilevel"/>
    <w:tmpl w:val="37D40BD6"/>
    <w:lvl w:ilvl="0" w:tplc="553A0B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A4A64"/>
    <w:multiLevelType w:val="hybridMultilevel"/>
    <w:tmpl w:val="21680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175B0"/>
    <w:multiLevelType w:val="hybridMultilevel"/>
    <w:tmpl w:val="551EE296"/>
    <w:lvl w:ilvl="0" w:tplc="9E3627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D7555"/>
    <w:multiLevelType w:val="hybridMultilevel"/>
    <w:tmpl w:val="7E249F3C"/>
    <w:lvl w:ilvl="0" w:tplc="D81A14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2190D"/>
    <w:multiLevelType w:val="hybridMultilevel"/>
    <w:tmpl w:val="12A8F55E"/>
    <w:lvl w:ilvl="0" w:tplc="698825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B342E"/>
    <w:multiLevelType w:val="hybridMultilevel"/>
    <w:tmpl w:val="33860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B0B4C"/>
    <w:multiLevelType w:val="hybridMultilevel"/>
    <w:tmpl w:val="91969852"/>
    <w:lvl w:ilvl="0" w:tplc="345295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415B7"/>
    <w:multiLevelType w:val="hybridMultilevel"/>
    <w:tmpl w:val="9AC02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B2017"/>
    <w:multiLevelType w:val="hybridMultilevel"/>
    <w:tmpl w:val="3FA88A22"/>
    <w:lvl w:ilvl="0" w:tplc="F0A0E6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17CEE"/>
    <w:multiLevelType w:val="hybridMultilevel"/>
    <w:tmpl w:val="F8F2F65E"/>
    <w:lvl w:ilvl="0" w:tplc="DEB436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1D24C5"/>
    <w:multiLevelType w:val="hybridMultilevel"/>
    <w:tmpl w:val="B94AC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4D47A7"/>
    <w:multiLevelType w:val="hybridMultilevel"/>
    <w:tmpl w:val="2B9C80FE"/>
    <w:lvl w:ilvl="0" w:tplc="13BA05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8552B"/>
    <w:multiLevelType w:val="hybridMultilevel"/>
    <w:tmpl w:val="BEA6967C"/>
    <w:lvl w:ilvl="0" w:tplc="23ACCF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E05F0"/>
    <w:multiLevelType w:val="multilevel"/>
    <w:tmpl w:val="DD7E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5"/>
  </w:num>
  <w:num w:numId="5">
    <w:abstractNumId w:val="14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16"/>
  </w:num>
  <w:num w:numId="12">
    <w:abstractNumId w:val="11"/>
  </w:num>
  <w:num w:numId="13">
    <w:abstractNumId w:val="13"/>
  </w:num>
  <w:num w:numId="14">
    <w:abstractNumId w:val="3"/>
  </w:num>
  <w:num w:numId="15">
    <w:abstractNumId w:val="17"/>
  </w:num>
  <w:num w:numId="16">
    <w:abstractNumId w:val="12"/>
  </w:num>
  <w:num w:numId="17">
    <w:abstractNumId w:val="18"/>
  </w:num>
  <w:num w:numId="18">
    <w:abstractNumId w:val="2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7FA"/>
    <w:rsid w:val="00003900"/>
    <w:rsid w:val="00052E08"/>
    <w:rsid w:val="00094797"/>
    <w:rsid w:val="000A640B"/>
    <w:rsid w:val="000F7C5A"/>
    <w:rsid w:val="00102D96"/>
    <w:rsid w:val="001207C5"/>
    <w:rsid w:val="00133EC7"/>
    <w:rsid w:val="00140B1F"/>
    <w:rsid w:val="00181210"/>
    <w:rsid w:val="001B57DE"/>
    <w:rsid w:val="001C16A4"/>
    <w:rsid w:val="00205AC4"/>
    <w:rsid w:val="0022763C"/>
    <w:rsid w:val="002301F9"/>
    <w:rsid w:val="002455E4"/>
    <w:rsid w:val="002463E9"/>
    <w:rsid w:val="0025685F"/>
    <w:rsid w:val="00281549"/>
    <w:rsid w:val="002A13E3"/>
    <w:rsid w:val="002A5F4C"/>
    <w:rsid w:val="00301A6F"/>
    <w:rsid w:val="00303054"/>
    <w:rsid w:val="003063A2"/>
    <w:rsid w:val="00356C5D"/>
    <w:rsid w:val="003B2365"/>
    <w:rsid w:val="003E4A01"/>
    <w:rsid w:val="00425411"/>
    <w:rsid w:val="00427AD8"/>
    <w:rsid w:val="00441AA5"/>
    <w:rsid w:val="00446B2C"/>
    <w:rsid w:val="00482479"/>
    <w:rsid w:val="00483FE2"/>
    <w:rsid w:val="00491D70"/>
    <w:rsid w:val="004A47B4"/>
    <w:rsid w:val="004B5C3F"/>
    <w:rsid w:val="004F0A1B"/>
    <w:rsid w:val="005023BA"/>
    <w:rsid w:val="00522158"/>
    <w:rsid w:val="00530270"/>
    <w:rsid w:val="0058075F"/>
    <w:rsid w:val="005D66F8"/>
    <w:rsid w:val="005F6AB5"/>
    <w:rsid w:val="00615AFE"/>
    <w:rsid w:val="006316C9"/>
    <w:rsid w:val="00636270"/>
    <w:rsid w:val="00636FC9"/>
    <w:rsid w:val="006437F6"/>
    <w:rsid w:val="006537FA"/>
    <w:rsid w:val="0067692B"/>
    <w:rsid w:val="006E61E0"/>
    <w:rsid w:val="006F3F24"/>
    <w:rsid w:val="0070155B"/>
    <w:rsid w:val="00702A41"/>
    <w:rsid w:val="00715C96"/>
    <w:rsid w:val="0072003A"/>
    <w:rsid w:val="00742B38"/>
    <w:rsid w:val="0074727B"/>
    <w:rsid w:val="00770EA0"/>
    <w:rsid w:val="007838D8"/>
    <w:rsid w:val="00791F4A"/>
    <w:rsid w:val="0081402B"/>
    <w:rsid w:val="00825B2D"/>
    <w:rsid w:val="00870863"/>
    <w:rsid w:val="008D3A0B"/>
    <w:rsid w:val="00904240"/>
    <w:rsid w:val="009077C4"/>
    <w:rsid w:val="00915DD4"/>
    <w:rsid w:val="0093512F"/>
    <w:rsid w:val="00951B79"/>
    <w:rsid w:val="009D300C"/>
    <w:rsid w:val="009D5E8E"/>
    <w:rsid w:val="009E134B"/>
    <w:rsid w:val="009E7595"/>
    <w:rsid w:val="00A56D51"/>
    <w:rsid w:val="00A81982"/>
    <w:rsid w:val="00A97A32"/>
    <w:rsid w:val="00AC68AF"/>
    <w:rsid w:val="00B1531F"/>
    <w:rsid w:val="00B42D56"/>
    <w:rsid w:val="00B45DA8"/>
    <w:rsid w:val="00B57F37"/>
    <w:rsid w:val="00BA665E"/>
    <w:rsid w:val="00BB4E9B"/>
    <w:rsid w:val="00BE01BF"/>
    <w:rsid w:val="00BE4D1A"/>
    <w:rsid w:val="00C05D7E"/>
    <w:rsid w:val="00C52825"/>
    <w:rsid w:val="00C70C5D"/>
    <w:rsid w:val="00CB7A60"/>
    <w:rsid w:val="00CD40B0"/>
    <w:rsid w:val="00CD5AEB"/>
    <w:rsid w:val="00CD77B4"/>
    <w:rsid w:val="00D049DF"/>
    <w:rsid w:val="00D310D5"/>
    <w:rsid w:val="00D3675A"/>
    <w:rsid w:val="00D550A6"/>
    <w:rsid w:val="00D55A44"/>
    <w:rsid w:val="00D64DDD"/>
    <w:rsid w:val="00D66013"/>
    <w:rsid w:val="00D70A4E"/>
    <w:rsid w:val="00D84BC5"/>
    <w:rsid w:val="00D87B51"/>
    <w:rsid w:val="00DC091D"/>
    <w:rsid w:val="00DC7A09"/>
    <w:rsid w:val="00DD5659"/>
    <w:rsid w:val="00DF2C8E"/>
    <w:rsid w:val="00DF4150"/>
    <w:rsid w:val="00DF6128"/>
    <w:rsid w:val="00E104DA"/>
    <w:rsid w:val="00E92263"/>
    <w:rsid w:val="00E95E88"/>
    <w:rsid w:val="00EA0932"/>
    <w:rsid w:val="00EA3A2D"/>
    <w:rsid w:val="00EB335D"/>
    <w:rsid w:val="00ED2B9A"/>
    <w:rsid w:val="00EF2B2F"/>
    <w:rsid w:val="00F15A37"/>
    <w:rsid w:val="00F75F4A"/>
    <w:rsid w:val="00FE6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F6AB5"/>
    <w:pPr>
      <w:ind w:left="720"/>
      <w:contextualSpacing/>
    </w:pPr>
  </w:style>
  <w:style w:type="paragraph" w:styleId="En-tte">
    <w:name w:val="header"/>
    <w:basedOn w:val="Normal"/>
    <w:link w:val="En-tteCar"/>
    <w:rsid w:val="005F6A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5F6A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ramemoyenne1-Accent2">
    <w:name w:val="Medium Shading 1 Accent 2"/>
    <w:basedOn w:val="TableauNormal"/>
    <w:uiPriority w:val="63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1">
    <w:name w:val="Table Grid 1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5F6AB5"/>
    <w:rPr>
      <w:color w:val="808080"/>
    </w:rPr>
  </w:style>
  <w:style w:type="paragraph" w:styleId="Textedebulles">
    <w:name w:val="Balloon Text"/>
    <w:basedOn w:val="Normal"/>
    <w:link w:val="TextedebullesCar"/>
    <w:rsid w:val="005F6A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F6AB5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rsid w:val="005F6AB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F6AB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5F6AB5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5F6AB5"/>
    <w:pPr>
      <w:spacing w:after="0" w:line="259" w:lineRule="auto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5F6AB5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5F6AB5"/>
    <w:rPr>
      <w:rFonts w:ascii="Calibri" w:eastAsia="Calibri" w:hAnsi="Calibri" w:cs="Calibri"/>
      <w:color w:val="000000"/>
      <w:sz w:val="16"/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5F6AB5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F6A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102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02D9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markedcontent">
    <w:name w:val="markedcontent"/>
    <w:basedOn w:val="Policepardfaut"/>
    <w:rsid w:val="00A56D51"/>
  </w:style>
  <w:style w:type="character" w:customStyle="1" w:styleId="rynqvb">
    <w:name w:val="rynqvb"/>
    <w:basedOn w:val="Policepardfaut"/>
    <w:rsid w:val="000A6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F6AB5"/>
    <w:pPr>
      <w:ind w:left="720"/>
      <w:contextualSpacing/>
    </w:pPr>
  </w:style>
  <w:style w:type="paragraph" w:styleId="En-tte">
    <w:name w:val="header"/>
    <w:basedOn w:val="Normal"/>
    <w:link w:val="En-tteCar"/>
    <w:rsid w:val="005F6A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5F6A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ramemoyenne1-Accent2">
    <w:name w:val="Medium Shading 1 Accent 2"/>
    <w:basedOn w:val="TableauNormal"/>
    <w:uiPriority w:val="63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detableau1">
    <w:name w:val="Table Grid 1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5F6AB5"/>
    <w:rPr>
      <w:color w:val="808080"/>
    </w:rPr>
  </w:style>
  <w:style w:type="paragraph" w:styleId="Textedebulles">
    <w:name w:val="Balloon Text"/>
    <w:basedOn w:val="Normal"/>
    <w:link w:val="TextedebullesCar"/>
    <w:rsid w:val="005F6A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F6AB5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rsid w:val="005F6AB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F6AB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5F6AB5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5F6AB5"/>
    <w:pPr>
      <w:spacing w:after="0" w:line="259" w:lineRule="auto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5F6AB5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5F6AB5"/>
    <w:rPr>
      <w:rFonts w:ascii="Calibri" w:eastAsia="Calibri" w:hAnsi="Calibri" w:cs="Calibri"/>
      <w:color w:val="000000"/>
      <w:sz w:val="16"/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5F6AB5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F6A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102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02D96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MAKITA</dc:creator>
  <cp:lastModifiedBy>USER</cp:lastModifiedBy>
  <cp:revision>3</cp:revision>
  <dcterms:created xsi:type="dcterms:W3CDTF">2025-09-16T13:42:00Z</dcterms:created>
  <dcterms:modified xsi:type="dcterms:W3CDTF">2025-09-16T14:02:00Z</dcterms:modified>
</cp:coreProperties>
</file>