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89" w:rsidRPr="008C43CD" w:rsidRDefault="002B7689" w:rsidP="002B76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Ministry of Higher Education and Scientific Research</w:t>
      </w:r>
    </w:p>
    <w:p w:rsidR="002B7689" w:rsidRPr="00761663" w:rsidRDefault="002B7689" w:rsidP="002B768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University of </w:t>
      </w:r>
      <w:proofErr w:type="spellStart"/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Oum</w:t>
      </w:r>
      <w:proofErr w:type="spellEnd"/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El </w:t>
      </w:r>
      <w:proofErr w:type="spellStart"/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Bouaghi</w:t>
      </w:r>
      <w:proofErr w:type="spellEnd"/>
    </w:p>
    <w:p w:rsidR="002B7689" w:rsidRDefault="002B7689" w:rsidP="002B7689">
      <w:pPr>
        <w:spacing w:after="200"/>
        <w:jc w:val="center"/>
        <w:rPr>
          <w:rFonts w:asciiTheme="majorBidi" w:hAnsiTheme="majorBidi" w:cstheme="majorBidi"/>
          <w:b/>
          <w:bCs/>
          <w:lang w:val="en-US"/>
        </w:rPr>
      </w:pPr>
      <w:r w:rsidRPr="00761663">
        <w:rPr>
          <w:rFonts w:asciiTheme="majorBidi" w:hAnsiTheme="majorBidi" w:cstheme="majorBidi"/>
          <w:b/>
          <w:bCs/>
          <w:lang w:val="en-US"/>
        </w:rPr>
        <w:t xml:space="preserve">Faculty </w:t>
      </w:r>
      <w:r w:rsidRPr="00761663">
        <w:rPr>
          <w:rStyle w:val="markedcontent"/>
          <w:rFonts w:asciiTheme="majorBidi" w:hAnsiTheme="majorBidi" w:cstheme="majorBidi"/>
          <w:b/>
          <w:bCs/>
          <w:lang w:val="en-US"/>
        </w:rPr>
        <w:t>of Letters and Languages</w:t>
      </w:r>
    </w:p>
    <w:p w:rsidR="002B7689" w:rsidRPr="008065C9" w:rsidRDefault="002B7689" w:rsidP="002B7689">
      <w:pPr>
        <w:tabs>
          <w:tab w:val="center" w:pos="7568"/>
        </w:tabs>
        <w:rPr>
          <w:rFonts w:ascii="Simplified Arabic" w:hAnsi="Simplified Arabic" w:cs="Simplified Arabic"/>
          <w:b/>
          <w:bCs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lang w:val="en-US" w:bidi="ar-DZ"/>
        </w:rPr>
        <w:br/>
      </w:r>
      <w:r w:rsidRPr="008065C9">
        <w:rPr>
          <w:rFonts w:ascii="Simplified Arabic" w:hAnsi="Simplified Arabic" w:cs="Simplified Arabic"/>
          <w:b/>
          <w:bCs/>
          <w:rtl/>
          <w:lang w:val="en-US" w:bidi="ar-DZ"/>
        </w:rPr>
        <w:tab/>
      </w:r>
      <w:r w:rsidRPr="008065C9">
        <w:rPr>
          <w:rFonts w:ascii="Simplified Arabic" w:hAnsi="Simplified Arabic" w:cs="Simplified Arabic"/>
          <w:b/>
          <w:bCs/>
          <w:lang w:val="en-US" w:bidi="ar-DZ"/>
        </w:rPr>
        <w:t>academic year   2025/2026                                                                                                  Department ofArabic</w:t>
      </w:r>
    </w:p>
    <w:p w:rsidR="00794DC6" w:rsidRPr="002B7689" w:rsidRDefault="00794DC6" w:rsidP="00794DC6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94DC6" w:rsidRPr="00471DD1" w:rsidRDefault="00471DD1" w:rsidP="00471DD1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="Hacen Tunisia Lt" w:hAnsi="Hacen Tunisia Lt" w:cs="Hacen Tunisia Lt"/>
          <w:b/>
          <w:bCs/>
          <w:sz w:val="36"/>
          <w:szCs w:val="36"/>
          <w:lang w:bidi="ar-DZ"/>
        </w:rPr>
      </w:pPr>
      <w:r>
        <w:rPr>
          <w:rStyle w:val="rynqvb"/>
          <w:lang/>
        </w:rPr>
        <w:t>First semester organization card Level: First year Master's degree, Linguistic Studies branch: Arabic Linguistics specialization</w:t>
      </w:r>
    </w:p>
    <w:p w:rsidR="00794DC6" w:rsidRDefault="00794DC6" w:rsidP="00794DC6">
      <w:pPr>
        <w:bidi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</w:p>
    <w:tbl>
      <w:tblPr>
        <w:tblStyle w:val="Grille1"/>
        <w:bidiVisual/>
        <w:tblW w:w="15573" w:type="dxa"/>
        <w:jc w:val="center"/>
        <w:tblLayout w:type="fixed"/>
        <w:tblLook w:val="04A0"/>
      </w:tblPr>
      <w:tblGrid>
        <w:gridCol w:w="4194"/>
        <w:gridCol w:w="1208"/>
        <w:gridCol w:w="1719"/>
        <w:gridCol w:w="2041"/>
        <w:gridCol w:w="2137"/>
        <w:gridCol w:w="2137"/>
        <w:gridCol w:w="1068"/>
        <w:gridCol w:w="1069"/>
      </w:tblGrid>
      <w:tr w:rsidR="00794DC6" w:rsidRPr="008B519E" w:rsidTr="00DF6E65">
        <w:trPr>
          <w:trHeight w:val="200"/>
          <w:jc w:val="center"/>
        </w:trPr>
        <w:tc>
          <w:tcPr>
            <w:tcW w:w="4194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4DC6" w:rsidRPr="008B519E" w:rsidRDefault="002B7689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spellStart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Unitsand</w:t>
            </w:r>
            <w:proofErr w:type="spellEnd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their </w:t>
            </w:r>
            <w:proofErr w:type="spellStart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conpoments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4DC6" w:rsidRPr="008B519E" w:rsidRDefault="002B7689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lectures</w:t>
            </w:r>
          </w:p>
        </w:tc>
        <w:tc>
          <w:tcPr>
            <w:tcW w:w="171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4DC6" w:rsidRPr="000C0199" w:rsidRDefault="002B7689" w:rsidP="00DF6E65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Number</w:t>
            </w:r>
            <w:proofErr w:type="spellEnd"/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 xml:space="preserve"> of </w:t>
            </w:r>
            <w:proofErr w:type="spellStart"/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weeklytutorials</w:t>
            </w:r>
            <w:proofErr w:type="spellEnd"/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4DC6" w:rsidRPr="002B7689" w:rsidRDefault="002B7689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spellStart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Numbre</w:t>
            </w:r>
            <w:proofErr w:type="spellEnd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of weekly </w:t>
            </w:r>
            <w:proofErr w:type="spellStart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pratical</w:t>
            </w:r>
            <w:proofErr w:type="spellEnd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sessions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94DC6" w:rsidRPr="008B519E" w:rsidRDefault="002B7689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coefficients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94DC6" w:rsidRPr="008B519E" w:rsidRDefault="002B7689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94DC6" w:rsidRPr="008B519E" w:rsidRDefault="002B7689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weights</w:t>
            </w:r>
          </w:p>
        </w:tc>
      </w:tr>
      <w:tr w:rsidR="00794DC6" w:rsidTr="00DF6E65">
        <w:trPr>
          <w:trHeight w:val="200"/>
          <w:jc w:val="center"/>
        </w:trPr>
        <w:tc>
          <w:tcPr>
            <w:tcW w:w="4194" w:type="dxa"/>
            <w:vMerge/>
            <w:shd w:val="clear" w:color="auto" w:fill="B8CCE4" w:themeFill="accent1" w:themeFillTint="66"/>
            <w:vAlign w:val="center"/>
          </w:tcPr>
          <w:p w:rsidR="00794DC6" w:rsidRPr="008B519E" w:rsidRDefault="00794DC6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208" w:type="dxa"/>
            <w:vMerge/>
            <w:shd w:val="clear" w:color="auto" w:fill="B8CCE4" w:themeFill="accent1" w:themeFillTint="66"/>
            <w:vAlign w:val="center"/>
          </w:tcPr>
          <w:p w:rsidR="00794DC6" w:rsidRPr="008B519E" w:rsidRDefault="00794DC6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719" w:type="dxa"/>
            <w:vMerge/>
            <w:shd w:val="clear" w:color="auto" w:fill="B8CCE4" w:themeFill="accent1" w:themeFillTint="66"/>
            <w:vAlign w:val="center"/>
          </w:tcPr>
          <w:p w:rsidR="00794DC6" w:rsidRPr="008B519E" w:rsidRDefault="00794DC6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794DC6" w:rsidRPr="008B519E" w:rsidRDefault="00794DC6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794DC6" w:rsidRDefault="00794DC6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794DC6" w:rsidRDefault="00794DC6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94DC6" w:rsidRDefault="002B7689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94DC6" w:rsidRDefault="002B7689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tutorial</w:t>
            </w:r>
          </w:p>
        </w:tc>
      </w:tr>
    </w:tbl>
    <w:p w:rsidR="00794DC6" w:rsidRPr="00B51894" w:rsidRDefault="00794DC6" w:rsidP="00794DC6">
      <w:pPr>
        <w:bidi/>
        <w:jc w:val="both"/>
        <w:rPr>
          <w:rFonts w:ascii="Traditional Arabic" w:hAnsi="Traditional Arabic" w:cs="Traditional Arabic"/>
          <w:b/>
          <w:bCs/>
          <w:lang w:bidi="ar-DZ"/>
        </w:rPr>
      </w:pPr>
    </w:p>
    <w:tbl>
      <w:tblPr>
        <w:bidiVisual/>
        <w:tblW w:w="50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04"/>
        <w:gridCol w:w="1297"/>
        <w:gridCol w:w="1577"/>
        <w:gridCol w:w="2166"/>
        <w:gridCol w:w="2173"/>
        <w:gridCol w:w="2160"/>
        <w:gridCol w:w="1151"/>
        <w:gridCol w:w="990"/>
      </w:tblGrid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94DC6" w:rsidRPr="00B51894" w:rsidRDefault="002B7689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471DD1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</w:tr>
      <w:tr w:rsidR="00794DC6" w:rsidRPr="00B51894" w:rsidTr="00403935">
        <w:trPr>
          <w:trHeight w:val="497"/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1859DC" w:rsidP="001859DC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 xml:space="preserve">Article 1: Dictionaries of </w:t>
            </w:r>
            <w:r w:rsidRPr="001859DC">
              <w:rPr>
                <w:rStyle w:val="rynqvb"/>
                <w:sz w:val="22"/>
                <w:szCs w:val="22"/>
                <w:lang/>
              </w:rPr>
              <w:t>Arabic Words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01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403935" w:rsidP="001859DC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>Article 2: Grammar Schools 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01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794DC6" w:rsidRPr="00B51894" w:rsidTr="00471DD1">
        <w:trPr>
          <w:trHeight w:val="309"/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94DC6" w:rsidRPr="00B51894" w:rsidRDefault="002B7689" w:rsidP="00DF6E65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spellStart"/>
            <w:r w:rsidRPr="008065C9">
              <w:t>Fundamemtalteaching</w:t>
            </w:r>
            <w:proofErr w:type="spellEnd"/>
            <w:r w:rsidRPr="008065C9">
              <w:t xml:space="preserve"> unit 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403935" w:rsidP="00403935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>Subject 1: Philology 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01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 w:rsidRPr="00B51894">
              <w:rPr>
                <w:rFonts w:ascii="Traditional Arabic" w:hAnsi="Traditional Arabic" w:cs="Traditional Arabic"/>
                <w:bCs/>
                <w:rtl/>
              </w:rPr>
              <w:t>03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403935" w:rsidP="00403935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2: Linguistic Theories 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         01   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94DC6" w:rsidRPr="00B51894" w:rsidRDefault="002B7689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Methodological teaching unit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471DD1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403935" w:rsidP="00403935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>Article 1: Linguistic Research Methods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01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403935" w:rsidRDefault="00403935" w:rsidP="00403935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2: Issues of linguistic terminology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01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C6" w:rsidRPr="00C86AE1" w:rsidRDefault="00794DC6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403935" w:rsidP="00403935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3: Research Problem 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94DC6" w:rsidRPr="002B7689" w:rsidRDefault="002B7689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Discovery teaching unit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403935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794DC6" w:rsidRPr="00B51894" w:rsidTr="00403935">
        <w:trPr>
          <w:trHeight w:val="501"/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DC6" w:rsidRPr="00403935" w:rsidRDefault="00403935" w:rsidP="00403935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>Article 1: Bibliography of traditional Arabic linguistics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794DC6" w:rsidRPr="00B51894" w:rsidTr="00403935">
        <w:trPr>
          <w:trHeight w:val="225"/>
          <w:jc w:val="center"/>
        </w:trPr>
        <w:tc>
          <w:tcPr>
            <w:tcW w:w="1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992E88" w:rsidRDefault="00403935" w:rsidP="00403935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2: Entrepreneurship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992E88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Cs/>
                <w:rtl/>
                <w:lang w:bidi="ar-DZ"/>
              </w:rPr>
              <w:t>01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Pr="00992E88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992E88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992E88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992E88">
              <w:rPr>
                <w:rFonts w:ascii="Traditional Arabic" w:hAnsi="Traditional Arabic" w:cs="Traditional Arabic"/>
                <w:bCs/>
                <w:rtl/>
                <w:lang w:bidi="ar-DZ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992E88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992E88">
              <w:rPr>
                <w:rFonts w:ascii="Traditional Arabic" w:hAnsi="Traditional Arabic" w:cs="Traditional Arabic"/>
                <w:bCs/>
                <w:rtl/>
                <w:lang w:bidi="ar-DZ"/>
              </w:rPr>
              <w:t>01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94DC6" w:rsidRPr="00B51894" w:rsidRDefault="002B7689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lastRenderedPageBreak/>
              <w:t xml:space="preserve">Tran </w:t>
            </w:r>
            <w:proofErr w:type="spellStart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versal</w:t>
            </w:r>
            <w:proofErr w:type="spellEnd"/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teaching unit 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794DC6" w:rsidRPr="00B51894" w:rsidTr="00403935">
        <w:trPr>
          <w:jc w:val="center"/>
        </w:trPr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403935" w:rsidP="00403935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1: Foreign Language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01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DC6" w:rsidRPr="00B51894" w:rsidRDefault="00794DC6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DC6" w:rsidRDefault="00794DC6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</w:tbl>
    <w:p w:rsidR="00794DC6" w:rsidRDefault="00794DC6" w:rsidP="00794DC6">
      <w:pPr>
        <w:bidi/>
        <w:rPr>
          <w:rtl/>
          <w:lang w:bidi="ar-DZ"/>
        </w:rPr>
      </w:pPr>
    </w:p>
    <w:p w:rsidR="00794DC6" w:rsidRDefault="00794DC6" w:rsidP="00794DC6">
      <w:pPr>
        <w:bidi/>
        <w:rPr>
          <w:rtl/>
          <w:lang w:bidi="ar-DZ"/>
        </w:rPr>
      </w:pPr>
    </w:p>
    <w:p w:rsidR="009B2758" w:rsidRDefault="009B2758" w:rsidP="0066569C">
      <w:pPr>
        <w:rPr>
          <w:bdr w:val="none" w:sz="0" w:space="0" w:color="auto" w:frame="1"/>
          <w:lang w:val="en-US" w:bidi="ar-DZ"/>
        </w:rPr>
      </w:pPr>
      <w:bookmarkStart w:id="0" w:name="_GoBack"/>
      <w:bookmarkEnd w:id="0"/>
      <w:r>
        <w:rPr>
          <w:bdr w:val="none" w:sz="0" w:space="0" w:color="auto" w:frame="1"/>
          <w:lang w:val="en-US" w:bidi="ar-DZ"/>
        </w:rPr>
        <w:t>Specialization Head</w:t>
      </w:r>
      <w:r w:rsidRPr="0066569C">
        <w:rPr>
          <w:sz w:val="32"/>
          <w:szCs w:val="32"/>
          <w:bdr w:val="none" w:sz="0" w:space="0" w:color="auto" w:frame="1"/>
          <w:lang w:val="en-US" w:bidi="ar-DZ"/>
        </w:rPr>
        <w:t>:</w:t>
      </w:r>
      <w:r w:rsidR="0066569C" w:rsidRPr="0066569C">
        <w:rPr>
          <w:sz w:val="32"/>
          <w:szCs w:val="32"/>
          <w:bdr w:val="none" w:sz="0" w:space="0" w:color="auto" w:frame="1"/>
          <w:lang w:val="en-US" w:bidi="ar-DZ"/>
        </w:rPr>
        <w:t xml:space="preserve"> Prof.</w:t>
      </w:r>
      <w:r w:rsidRPr="0066569C">
        <w:rPr>
          <w:sz w:val="32"/>
          <w:szCs w:val="32"/>
          <w:bdr w:val="none" w:sz="0" w:space="0" w:color="auto" w:frame="1"/>
          <w:lang w:val="en-US" w:bidi="ar-DZ"/>
        </w:rPr>
        <w:t xml:space="preserve"> Dr. </w:t>
      </w:r>
      <w:proofErr w:type="gramStart"/>
      <w:r w:rsidRPr="0066569C">
        <w:rPr>
          <w:sz w:val="32"/>
          <w:szCs w:val="32"/>
          <w:bdr w:val="none" w:sz="0" w:space="0" w:color="auto" w:frame="1"/>
          <w:lang w:val="en-US" w:bidi="ar-DZ"/>
        </w:rPr>
        <w:t>BOUTERA  SALAH</w:t>
      </w:r>
      <w:proofErr w:type="gramEnd"/>
    </w:p>
    <w:p w:rsidR="009B2758" w:rsidRDefault="009B2758" w:rsidP="009B2758">
      <w:pPr>
        <w:rPr>
          <w:bdr w:val="none" w:sz="0" w:space="0" w:color="auto" w:frame="1"/>
          <w:lang w:val="en-US" w:bidi="ar-DZ"/>
        </w:rPr>
      </w:pPr>
    </w:p>
    <w:p w:rsidR="009B2758" w:rsidRDefault="009B2758" w:rsidP="009B2758">
      <w:pPr>
        <w:rPr>
          <w:rFonts w:hint="cs"/>
          <w:rtl/>
          <w:lang w:bidi="ar-DZ"/>
        </w:rPr>
      </w:pPr>
      <w:r>
        <w:rPr>
          <w:lang w:bidi="ar-DZ"/>
        </w:rPr>
        <w:t xml:space="preserve">Note: This </w:t>
      </w:r>
      <w:proofErr w:type="spellStart"/>
      <w:r>
        <w:rPr>
          <w:lang w:bidi="ar-DZ"/>
        </w:rPr>
        <w:t>is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completed</w:t>
      </w:r>
      <w:proofErr w:type="spellEnd"/>
      <w:r>
        <w:rPr>
          <w:lang w:bidi="ar-DZ"/>
        </w:rPr>
        <w:t xml:space="preserve"> by the </w:t>
      </w:r>
      <w:proofErr w:type="spellStart"/>
      <w:r>
        <w:rPr>
          <w:lang w:bidi="ar-DZ"/>
        </w:rPr>
        <w:t>specialization</w:t>
      </w:r>
      <w:proofErr w:type="spellEnd"/>
      <w:r>
        <w:rPr>
          <w:lang w:bidi="ar-DZ"/>
        </w:rPr>
        <w:t xml:space="preserve"> official, </w:t>
      </w:r>
      <w:proofErr w:type="spellStart"/>
      <w:r>
        <w:rPr>
          <w:lang w:bidi="ar-DZ"/>
        </w:rPr>
        <w:t>referring</w:t>
      </w:r>
      <w:proofErr w:type="spellEnd"/>
      <w:r>
        <w:rPr>
          <w:lang w:bidi="ar-DZ"/>
        </w:rPr>
        <w:t xml:space="preserve"> to the </w:t>
      </w:r>
      <w:proofErr w:type="spellStart"/>
      <w:r>
        <w:rPr>
          <w:lang w:bidi="ar-DZ"/>
        </w:rPr>
        <w:t>approved</w:t>
      </w:r>
      <w:proofErr w:type="spellEnd"/>
      <w:r>
        <w:rPr>
          <w:lang w:bidi="ar-DZ"/>
        </w:rPr>
        <w:t xml:space="preserve"> training </w:t>
      </w:r>
      <w:proofErr w:type="spellStart"/>
      <w:r>
        <w:rPr>
          <w:lang w:bidi="ar-DZ"/>
        </w:rPr>
        <w:t>offer</w:t>
      </w:r>
      <w:proofErr w:type="spellEnd"/>
    </w:p>
    <w:p w:rsidR="009B2758" w:rsidRDefault="009B2758" w:rsidP="009B2758">
      <w:pPr>
        <w:jc w:val="right"/>
        <w:rPr>
          <w:lang w:bidi="ar-DZ"/>
        </w:rPr>
      </w:pPr>
      <w:r>
        <w:rPr>
          <w:lang w:bidi="ar-DZ"/>
        </w:rPr>
        <w:t>.</w:t>
      </w:r>
    </w:p>
    <w:p w:rsidR="009B2758" w:rsidRDefault="009B2758" w:rsidP="009B2758">
      <w:pPr>
        <w:jc w:val="right"/>
        <w:rPr>
          <w:lang w:bidi="ar-DZ"/>
        </w:rPr>
      </w:pPr>
      <w:r>
        <w:rPr>
          <w:bdr w:val="none" w:sz="0" w:space="0" w:color="auto" w:frame="1"/>
          <w:lang w:val="en-US" w:bidi="ar-DZ"/>
        </w:rPr>
        <w:t xml:space="preserve"> Head of Department</w:t>
      </w:r>
    </w:p>
    <w:p w:rsidR="001C0043" w:rsidRPr="00794DC6" w:rsidRDefault="001C0043" w:rsidP="00794DC6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sectPr w:rsidR="001C0043" w:rsidRPr="00794DC6" w:rsidSect="00BE17C7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DC3C68"/>
    <w:rsid w:val="001859DC"/>
    <w:rsid w:val="001C0043"/>
    <w:rsid w:val="002B7689"/>
    <w:rsid w:val="00403935"/>
    <w:rsid w:val="00471DD1"/>
    <w:rsid w:val="0066569C"/>
    <w:rsid w:val="007021F1"/>
    <w:rsid w:val="00730880"/>
    <w:rsid w:val="00794DC6"/>
    <w:rsid w:val="009B2758"/>
    <w:rsid w:val="00DC3C68"/>
    <w:rsid w:val="00F66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DC3C68"/>
  </w:style>
  <w:style w:type="table" w:styleId="Grille1">
    <w:name w:val="Table Grid 1"/>
    <w:basedOn w:val="TableauNormal"/>
    <w:rsid w:val="00794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ynqvb">
    <w:name w:val="rynqvb"/>
    <w:basedOn w:val="Policepardfaut"/>
    <w:rsid w:val="00185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2025-09-16T12:49:00Z</dcterms:created>
  <dcterms:modified xsi:type="dcterms:W3CDTF">2025-09-16T13:26:00Z</dcterms:modified>
</cp:coreProperties>
</file>